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9" w:type="dxa"/>
        <w:tblLayout w:type="fixed"/>
        <w:tblLook w:val="0000" w:firstRow="0" w:lastRow="0" w:firstColumn="0" w:lastColumn="0" w:noHBand="0" w:noVBand="0"/>
      </w:tblPr>
      <w:tblGrid>
        <w:gridCol w:w="9549"/>
      </w:tblGrid>
      <w:tr w:rsidR="00752AC1" w:rsidRPr="00CF5BB1" w14:paraId="20278FC5" w14:textId="77777777" w:rsidTr="00EF02F1">
        <w:tc>
          <w:tcPr>
            <w:tcW w:w="9549" w:type="dxa"/>
          </w:tcPr>
          <w:p w14:paraId="5CC64C94" w14:textId="77777777" w:rsidR="00752AC1" w:rsidRPr="00CF5BB1" w:rsidRDefault="00752AC1" w:rsidP="00C11FA5">
            <w:pPr>
              <w:tabs>
                <w:tab w:val="center" w:pos="4678"/>
              </w:tabs>
              <w:jc w:val="center"/>
              <w:rPr>
                <w:b/>
                <w:szCs w:val="24"/>
              </w:rPr>
            </w:pPr>
            <w:bookmarkStart w:id="0" w:name="_GoBack"/>
            <w:bookmarkEnd w:id="0"/>
            <w:r w:rsidRPr="00CF5BB1">
              <w:rPr>
                <w:b/>
                <w:szCs w:val="24"/>
              </w:rPr>
              <w:t>UPPER TRIBUNAL (LANDS CHAMBER)</w:t>
            </w:r>
          </w:p>
          <w:p w14:paraId="3E74C147" w14:textId="77777777" w:rsidR="00752AC1" w:rsidRPr="00CF5BB1" w:rsidRDefault="00752AC1" w:rsidP="00EF4ECF">
            <w:pPr>
              <w:tabs>
                <w:tab w:val="center" w:pos="4678"/>
              </w:tabs>
              <w:jc w:val="center"/>
              <w:rPr>
                <w:b/>
                <w:szCs w:val="24"/>
              </w:rPr>
            </w:pPr>
          </w:p>
        </w:tc>
      </w:tr>
      <w:tr w:rsidR="00752AC1" w:rsidRPr="00CF5BB1" w14:paraId="150E635E" w14:textId="77777777" w:rsidTr="00EF02F1">
        <w:tc>
          <w:tcPr>
            <w:tcW w:w="9549" w:type="dxa"/>
          </w:tcPr>
          <w:p w14:paraId="28C33D47" w14:textId="77777777" w:rsidR="00752AC1" w:rsidRPr="00CF5BB1" w:rsidRDefault="00752AC1" w:rsidP="00EF4ECF">
            <w:pPr>
              <w:jc w:val="center"/>
              <w:rPr>
                <w:szCs w:val="24"/>
              </w:rPr>
            </w:pPr>
            <w:r w:rsidRPr="00CF5BB1">
              <w:rPr>
                <w:noProof/>
                <w:szCs w:val="24"/>
                <w:lang w:eastAsia="en-GB"/>
              </w:rPr>
              <w:drawing>
                <wp:inline distT="0" distB="0" distL="0" distR="0" wp14:anchorId="409E4643" wp14:editId="12FA57F4">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p w14:paraId="651295EC" w14:textId="77777777" w:rsidR="00752AC1" w:rsidRPr="00CF5BB1" w:rsidRDefault="00752AC1" w:rsidP="00EF4ECF">
            <w:pPr>
              <w:tabs>
                <w:tab w:val="center" w:pos="4678"/>
              </w:tabs>
              <w:jc w:val="center"/>
              <w:rPr>
                <w:szCs w:val="24"/>
              </w:rPr>
            </w:pPr>
          </w:p>
        </w:tc>
      </w:tr>
    </w:tbl>
    <w:p w14:paraId="6406BE73" w14:textId="0D685D9B" w:rsidR="00EF02F1" w:rsidRPr="00CF5BB1" w:rsidRDefault="00EF02F1" w:rsidP="00EF02F1">
      <w:pPr>
        <w:tabs>
          <w:tab w:val="right" w:pos="9072"/>
        </w:tabs>
        <w:ind w:left="9072" w:right="-43" w:hanging="9072"/>
        <w:jc w:val="right"/>
        <w:rPr>
          <w:b/>
          <w:szCs w:val="24"/>
        </w:rPr>
      </w:pPr>
      <w:r w:rsidRPr="00CF5BB1">
        <w:rPr>
          <w:b/>
          <w:szCs w:val="24"/>
        </w:rPr>
        <w:t xml:space="preserve">UT Neutral citation number: </w:t>
      </w:r>
      <w:r w:rsidR="00206A70" w:rsidRPr="00CF5BB1">
        <w:rPr>
          <w:b/>
          <w:szCs w:val="24"/>
        </w:rPr>
        <w:t>[202</w:t>
      </w:r>
      <w:r w:rsidR="009B2E10">
        <w:rPr>
          <w:b/>
          <w:szCs w:val="24"/>
        </w:rPr>
        <w:t>2</w:t>
      </w:r>
      <w:r w:rsidR="00BA367D" w:rsidRPr="00CF5BB1">
        <w:rPr>
          <w:b/>
          <w:szCs w:val="24"/>
        </w:rPr>
        <w:t xml:space="preserve">] UKUT </w:t>
      </w:r>
      <w:r w:rsidR="008740AD">
        <w:rPr>
          <w:b/>
          <w:szCs w:val="24"/>
        </w:rPr>
        <w:t>28</w:t>
      </w:r>
      <w:r w:rsidR="0068047F" w:rsidRPr="00CF5BB1">
        <w:rPr>
          <w:b/>
          <w:szCs w:val="24"/>
        </w:rPr>
        <w:t xml:space="preserve"> (LC)</w:t>
      </w:r>
    </w:p>
    <w:p w14:paraId="309D0987" w14:textId="7CCB638D" w:rsidR="00E3383E" w:rsidRPr="00CF5BB1" w:rsidRDefault="00752AC1" w:rsidP="001017A5">
      <w:pPr>
        <w:tabs>
          <w:tab w:val="right" w:pos="9072"/>
        </w:tabs>
        <w:ind w:right="-43"/>
        <w:jc w:val="right"/>
        <w:rPr>
          <w:b/>
          <w:szCs w:val="24"/>
        </w:rPr>
      </w:pPr>
      <w:r w:rsidRPr="00CF5BB1">
        <w:rPr>
          <w:b/>
          <w:szCs w:val="24"/>
        </w:rPr>
        <w:t>UTLC Case Number</w:t>
      </w:r>
      <w:r w:rsidR="00E3383E" w:rsidRPr="00CF5BB1">
        <w:rPr>
          <w:b/>
          <w:szCs w:val="24"/>
        </w:rPr>
        <w:t>s</w:t>
      </w:r>
      <w:r w:rsidRPr="00CF5BB1">
        <w:rPr>
          <w:b/>
          <w:szCs w:val="24"/>
        </w:rPr>
        <w:t xml:space="preserve">: </w:t>
      </w:r>
      <w:r w:rsidR="00FF3A58" w:rsidRPr="00CF5BB1">
        <w:rPr>
          <w:b/>
          <w:szCs w:val="24"/>
        </w:rPr>
        <w:t>LC-</w:t>
      </w:r>
      <w:r w:rsidR="000A26BD" w:rsidRPr="00CF5BB1">
        <w:rPr>
          <w:b/>
          <w:szCs w:val="24"/>
        </w:rPr>
        <w:t>20</w:t>
      </w:r>
      <w:r w:rsidR="00637F9C" w:rsidRPr="00CF5BB1">
        <w:rPr>
          <w:b/>
          <w:szCs w:val="24"/>
        </w:rPr>
        <w:t>2</w:t>
      </w:r>
      <w:r w:rsidR="00754A0E" w:rsidRPr="00CF5BB1">
        <w:rPr>
          <w:b/>
          <w:szCs w:val="24"/>
        </w:rPr>
        <w:t>0-140</w:t>
      </w:r>
    </w:p>
    <w:p w14:paraId="34BDEBAC" w14:textId="77777777" w:rsidR="00EF02F1" w:rsidRPr="00CF5BB1" w:rsidRDefault="00EF02F1" w:rsidP="00FD0E6D">
      <w:pPr>
        <w:tabs>
          <w:tab w:val="center" w:pos="4672"/>
          <w:tab w:val="right" w:pos="9072"/>
        </w:tabs>
        <w:ind w:right="-22"/>
        <w:rPr>
          <w:b/>
          <w:szCs w:val="24"/>
        </w:rPr>
      </w:pPr>
    </w:p>
    <w:p w14:paraId="7506E8D8" w14:textId="596A5E00" w:rsidR="00752AC1" w:rsidRPr="00CF5BB1" w:rsidRDefault="00752AC1" w:rsidP="00752AC1">
      <w:pPr>
        <w:tabs>
          <w:tab w:val="center" w:pos="4672"/>
          <w:tab w:val="right" w:pos="9072"/>
        </w:tabs>
        <w:ind w:right="-22"/>
        <w:jc w:val="center"/>
        <w:rPr>
          <w:b/>
          <w:szCs w:val="24"/>
        </w:rPr>
      </w:pPr>
      <w:r w:rsidRPr="00CF5BB1">
        <w:rPr>
          <w:b/>
          <w:szCs w:val="24"/>
        </w:rPr>
        <w:t>TRIBUNALS, COURTS AND ENFORCEMENT ACT 2007</w:t>
      </w:r>
    </w:p>
    <w:p w14:paraId="60A51D82" w14:textId="0A6A734A" w:rsidR="002044A0" w:rsidRPr="00CF5BB1" w:rsidRDefault="002044A0" w:rsidP="00752AC1">
      <w:pPr>
        <w:tabs>
          <w:tab w:val="center" w:pos="4672"/>
          <w:tab w:val="right" w:pos="9072"/>
        </w:tabs>
        <w:ind w:right="-22"/>
        <w:jc w:val="center"/>
        <w:rPr>
          <w:b/>
          <w:szCs w:val="24"/>
        </w:rPr>
      </w:pPr>
    </w:p>
    <w:p w14:paraId="545A08A0" w14:textId="62FAA67D" w:rsidR="008C401E" w:rsidRPr="00CF5BB1" w:rsidRDefault="008C401E" w:rsidP="00FE6DB7">
      <w:pPr>
        <w:tabs>
          <w:tab w:val="center" w:pos="4672"/>
          <w:tab w:val="right" w:pos="9072"/>
        </w:tabs>
        <w:ind w:right="-22"/>
        <w:rPr>
          <w:b/>
          <w:szCs w:val="24"/>
        </w:rPr>
      </w:pPr>
    </w:p>
    <w:p w14:paraId="44D1F109" w14:textId="44DF19D8" w:rsidR="00254DE1" w:rsidRPr="00B86E02" w:rsidRDefault="00C8599C" w:rsidP="00FE6DB7">
      <w:pPr>
        <w:tabs>
          <w:tab w:val="center" w:pos="4672"/>
          <w:tab w:val="right" w:pos="9072"/>
        </w:tabs>
        <w:ind w:right="-22"/>
        <w:rPr>
          <w:b/>
          <w:i/>
          <w:iCs/>
          <w:szCs w:val="24"/>
        </w:rPr>
      </w:pPr>
      <w:r>
        <w:rPr>
          <w:b/>
          <w:i/>
          <w:iCs/>
          <w:szCs w:val="24"/>
        </w:rPr>
        <w:t>COM</w:t>
      </w:r>
      <w:r w:rsidR="00571734">
        <w:rPr>
          <w:b/>
          <w:i/>
          <w:iCs/>
          <w:szCs w:val="24"/>
        </w:rPr>
        <w:t xml:space="preserve">PULSORY PURCHASE - </w:t>
      </w:r>
      <w:r w:rsidR="00B86E02" w:rsidRPr="00B86E02">
        <w:rPr>
          <w:b/>
          <w:i/>
          <w:iCs/>
          <w:szCs w:val="24"/>
        </w:rPr>
        <w:t>COMPENSATION</w:t>
      </w:r>
      <w:r w:rsidR="00E14059">
        <w:rPr>
          <w:b/>
          <w:i/>
          <w:iCs/>
          <w:szCs w:val="24"/>
        </w:rPr>
        <w:t xml:space="preserve"> </w:t>
      </w:r>
      <w:r w:rsidR="00571734">
        <w:rPr>
          <w:b/>
          <w:i/>
          <w:iCs/>
          <w:szCs w:val="24"/>
        </w:rPr>
        <w:t>–</w:t>
      </w:r>
      <w:r w:rsidR="00E14059">
        <w:rPr>
          <w:b/>
          <w:i/>
          <w:iCs/>
          <w:szCs w:val="24"/>
        </w:rPr>
        <w:t xml:space="preserve"> </w:t>
      </w:r>
      <w:r w:rsidR="00571734">
        <w:rPr>
          <w:b/>
          <w:i/>
          <w:iCs/>
          <w:szCs w:val="24"/>
        </w:rPr>
        <w:t>grazing land and part of car</w:t>
      </w:r>
      <w:r w:rsidR="006656B6">
        <w:rPr>
          <w:b/>
          <w:i/>
          <w:iCs/>
          <w:szCs w:val="24"/>
        </w:rPr>
        <w:t xml:space="preserve"> </w:t>
      </w:r>
      <w:r w:rsidR="00571734">
        <w:rPr>
          <w:b/>
          <w:i/>
          <w:iCs/>
          <w:szCs w:val="24"/>
        </w:rPr>
        <w:t>park a</w:t>
      </w:r>
      <w:r w:rsidR="00D0300B">
        <w:rPr>
          <w:b/>
          <w:i/>
          <w:iCs/>
          <w:szCs w:val="24"/>
        </w:rPr>
        <w:t xml:space="preserve">cquired for the A6 </w:t>
      </w:r>
      <w:r w:rsidR="009847D3">
        <w:rPr>
          <w:b/>
          <w:i/>
          <w:iCs/>
          <w:szCs w:val="24"/>
        </w:rPr>
        <w:t>–</w:t>
      </w:r>
      <w:r w:rsidR="00D0300B">
        <w:rPr>
          <w:b/>
          <w:i/>
          <w:iCs/>
          <w:szCs w:val="24"/>
        </w:rPr>
        <w:t xml:space="preserve"> Manc</w:t>
      </w:r>
      <w:r w:rsidR="009847D3">
        <w:rPr>
          <w:b/>
          <w:i/>
          <w:iCs/>
          <w:szCs w:val="24"/>
        </w:rPr>
        <w:t>hester Airport Relief Road</w:t>
      </w:r>
      <w:r w:rsidR="00F53EFE">
        <w:rPr>
          <w:b/>
          <w:i/>
          <w:iCs/>
          <w:szCs w:val="24"/>
        </w:rPr>
        <w:t xml:space="preserve"> – rule 2 value in no scheme world </w:t>
      </w:r>
      <w:r w:rsidR="00662D0B">
        <w:rPr>
          <w:b/>
          <w:i/>
          <w:iCs/>
          <w:szCs w:val="24"/>
        </w:rPr>
        <w:t>-</w:t>
      </w:r>
      <w:r w:rsidR="00F53EFE">
        <w:rPr>
          <w:b/>
          <w:i/>
          <w:iCs/>
          <w:szCs w:val="24"/>
        </w:rPr>
        <w:t xml:space="preserve"> </w:t>
      </w:r>
      <w:r w:rsidR="00693C7C" w:rsidRPr="00693C7C">
        <w:rPr>
          <w:b/>
          <w:bCs/>
          <w:i/>
          <w:iCs/>
          <w:szCs w:val="24"/>
        </w:rPr>
        <w:t>s.5, Land Compensation Act 1961 –</w:t>
      </w:r>
      <w:r w:rsidR="00693C7C">
        <w:rPr>
          <w:b/>
          <w:bCs/>
          <w:i/>
          <w:iCs/>
          <w:szCs w:val="24"/>
        </w:rPr>
        <w:t xml:space="preserve"> </w:t>
      </w:r>
      <w:r w:rsidR="00693C7C" w:rsidRPr="00693C7C">
        <w:rPr>
          <w:b/>
          <w:bCs/>
          <w:i/>
          <w:iCs/>
          <w:szCs w:val="24"/>
        </w:rPr>
        <w:t>Compensation determined at £</w:t>
      </w:r>
      <w:r w:rsidR="00155CAC">
        <w:rPr>
          <w:b/>
          <w:bCs/>
          <w:i/>
          <w:iCs/>
          <w:szCs w:val="24"/>
        </w:rPr>
        <w:t>584</w:t>
      </w:r>
      <w:r w:rsidR="002155B4">
        <w:rPr>
          <w:b/>
          <w:bCs/>
          <w:i/>
          <w:iCs/>
          <w:szCs w:val="24"/>
        </w:rPr>
        <w:t>,</w:t>
      </w:r>
      <w:r w:rsidR="005C4F0A">
        <w:rPr>
          <w:b/>
          <w:bCs/>
          <w:i/>
          <w:iCs/>
          <w:szCs w:val="24"/>
        </w:rPr>
        <w:t>971</w:t>
      </w:r>
    </w:p>
    <w:p w14:paraId="3BABFD87" w14:textId="2F94D964" w:rsidR="00FE6DB7" w:rsidRPr="00CF5BB1" w:rsidRDefault="00FE6DB7" w:rsidP="00FE6DB7">
      <w:pPr>
        <w:tabs>
          <w:tab w:val="center" w:pos="4672"/>
          <w:tab w:val="right" w:pos="9072"/>
        </w:tabs>
        <w:ind w:right="-22"/>
        <w:rPr>
          <w:b/>
          <w:szCs w:val="24"/>
        </w:rPr>
      </w:pPr>
    </w:p>
    <w:p w14:paraId="75961D6D" w14:textId="1AF3D942" w:rsidR="00FE6DB7" w:rsidRPr="00CF5BB1" w:rsidRDefault="00FE6DB7" w:rsidP="00FE6DB7">
      <w:pPr>
        <w:tabs>
          <w:tab w:val="center" w:pos="4672"/>
          <w:tab w:val="right" w:pos="9072"/>
        </w:tabs>
        <w:ind w:right="-22"/>
        <w:rPr>
          <w:b/>
          <w:szCs w:val="24"/>
        </w:rPr>
      </w:pPr>
    </w:p>
    <w:p w14:paraId="17E279CB" w14:textId="6909A755" w:rsidR="00FE6DB7" w:rsidRPr="00CF5BB1" w:rsidRDefault="00FE6DB7" w:rsidP="00FE6DB7">
      <w:pPr>
        <w:tabs>
          <w:tab w:val="center" w:pos="4672"/>
          <w:tab w:val="right" w:pos="9072"/>
        </w:tabs>
        <w:ind w:right="-22"/>
        <w:jc w:val="center"/>
        <w:rPr>
          <w:b/>
          <w:szCs w:val="24"/>
        </w:rPr>
      </w:pPr>
      <w:r w:rsidRPr="00CF5BB1">
        <w:rPr>
          <w:b/>
          <w:szCs w:val="24"/>
        </w:rPr>
        <w:t xml:space="preserve">IN </w:t>
      </w:r>
      <w:r w:rsidR="00B940ED">
        <w:rPr>
          <w:b/>
          <w:szCs w:val="24"/>
        </w:rPr>
        <w:t>THE</w:t>
      </w:r>
      <w:r w:rsidR="00B940ED" w:rsidRPr="00CF5BB1">
        <w:rPr>
          <w:b/>
          <w:szCs w:val="24"/>
        </w:rPr>
        <w:t xml:space="preserve"> </w:t>
      </w:r>
      <w:r w:rsidRPr="00CF5BB1">
        <w:rPr>
          <w:b/>
          <w:szCs w:val="24"/>
        </w:rPr>
        <w:t>MATTER OF A NOTICE OF REFERENCE</w:t>
      </w:r>
    </w:p>
    <w:p w14:paraId="463C34FE" w14:textId="1F98787A" w:rsidR="00C11FA5" w:rsidRPr="00CF5BB1" w:rsidRDefault="00C11FA5" w:rsidP="00C11FA5">
      <w:pPr>
        <w:jc w:val="both"/>
        <w:rPr>
          <w:b/>
          <w:i/>
          <w:szCs w:val="24"/>
        </w:rPr>
      </w:pPr>
    </w:p>
    <w:p w14:paraId="0EC9D323" w14:textId="77777777" w:rsidR="00C11FA5" w:rsidRPr="00CF5BB1" w:rsidRDefault="00C11FA5" w:rsidP="00C11FA5">
      <w:pPr>
        <w:jc w:val="both"/>
        <w:rPr>
          <w:b/>
          <w:i/>
          <w:szCs w:val="24"/>
        </w:rPr>
      </w:pPr>
    </w:p>
    <w:p w14:paraId="7C7F036C" w14:textId="1D658889" w:rsidR="00752AC1" w:rsidRPr="00CF5BB1" w:rsidRDefault="008C401E" w:rsidP="00EF02F1">
      <w:pPr>
        <w:tabs>
          <w:tab w:val="left" w:pos="1185"/>
          <w:tab w:val="center" w:pos="4680"/>
          <w:tab w:val="right" w:pos="9072"/>
        </w:tabs>
        <w:ind w:right="-22"/>
        <w:rPr>
          <w:b/>
          <w:szCs w:val="24"/>
        </w:rPr>
      </w:pPr>
      <w:r w:rsidRPr="00CF5BB1">
        <w:rPr>
          <w:b/>
          <w:szCs w:val="24"/>
        </w:rPr>
        <w:t>BETWEEN:</w:t>
      </w:r>
    </w:p>
    <w:p w14:paraId="5B33C3FD" w14:textId="77777777" w:rsidR="00CC39B2" w:rsidRPr="00CF5BB1" w:rsidRDefault="00CC39B2" w:rsidP="00EF02F1">
      <w:pPr>
        <w:tabs>
          <w:tab w:val="left" w:pos="1185"/>
          <w:tab w:val="center" w:pos="4680"/>
          <w:tab w:val="right" w:pos="9072"/>
        </w:tabs>
        <w:ind w:right="-22"/>
        <w:rPr>
          <w:b/>
          <w:szCs w:val="24"/>
        </w:rPr>
      </w:pPr>
    </w:p>
    <w:p w14:paraId="1B8EFF8B" w14:textId="77777777" w:rsidR="00E73B7B" w:rsidRPr="00CF5BB1" w:rsidRDefault="00754A0E" w:rsidP="003B124D">
      <w:pPr>
        <w:pStyle w:val="Default"/>
        <w:jc w:val="center"/>
        <w:rPr>
          <w:rFonts w:ascii="Times New Roman" w:hAnsi="Times New Roman" w:cs="Times New Roman"/>
          <w:b/>
          <w:bCs/>
          <w:caps/>
        </w:rPr>
      </w:pPr>
      <w:r w:rsidRPr="00CF5BB1">
        <w:rPr>
          <w:rFonts w:ascii="Times New Roman" w:hAnsi="Times New Roman" w:cs="Times New Roman"/>
          <w:b/>
          <w:bCs/>
          <w:caps/>
        </w:rPr>
        <w:t>Martyn John Garner and Michael Paul Garner</w:t>
      </w:r>
    </w:p>
    <w:p w14:paraId="50D4C76B" w14:textId="22B1D6ED" w:rsidR="008C401E" w:rsidRPr="00CF5BB1" w:rsidRDefault="00754A0E" w:rsidP="003B124D">
      <w:pPr>
        <w:pStyle w:val="Default"/>
        <w:jc w:val="center"/>
        <w:rPr>
          <w:rFonts w:ascii="Times New Roman" w:hAnsi="Times New Roman" w:cs="Times New Roman"/>
          <w:b/>
          <w:bCs/>
          <w:caps/>
        </w:rPr>
      </w:pPr>
      <w:r w:rsidRPr="00CF5BB1">
        <w:rPr>
          <w:rFonts w:ascii="Times New Roman" w:hAnsi="Times New Roman" w:cs="Times New Roman"/>
          <w:b/>
          <w:bCs/>
          <w:caps/>
        </w:rPr>
        <w:t xml:space="preserve"> </w:t>
      </w:r>
    </w:p>
    <w:p w14:paraId="07E30102" w14:textId="53AF4316" w:rsidR="00E10CE6" w:rsidRPr="00CF5BB1" w:rsidRDefault="00CA5DEC" w:rsidP="00CA5DEC">
      <w:pPr>
        <w:tabs>
          <w:tab w:val="left" w:pos="1185"/>
          <w:tab w:val="center" w:pos="4680"/>
          <w:tab w:val="right" w:pos="9072"/>
        </w:tabs>
        <w:ind w:right="-22"/>
        <w:jc w:val="center"/>
        <w:rPr>
          <w:b/>
          <w:szCs w:val="24"/>
        </w:rPr>
      </w:pPr>
      <w:r w:rsidRPr="00CF5BB1">
        <w:rPr>
          <w:b/>
          <w:szCs w:val="24"/>
        </w:rPr>
        <w:t xml:space="preserve">                                                                                                                                    </w:t>
      </w:r>
      <w:r w:rsidR="00754A0E" w:rsidRPr="00CF5BB1">
        <w:rPr>
          <w:b/>
          <w:szCs w:val="24"/>
        </w:rPr>
        <w:t>C</w:t>
      </w:r>
      <w:r w:rsidR="00CA5F2F">
        <w:rPr>
          <w:b/>
          <w:szCs w:val="24"/>
        </w:rPr>
        <w:t>laimants</w:t>
      </w:r>
    </w:p>
    <w:p w14:paraId="48832A61" w14:textId="0F8CAED7" w:rsidR="008C401E" w:rsidRPr="00CF5BB1" w:rsidRDefault="00BC3B20" w:rsidP="008C401E">
      <w:pPr>
        <w:tabs>
          <w:tab w:val="left" w:pos="1185"/>
          <w:tab w:val="center" w:pos="4680"/>
          <w:tab w:val="right" w:pos="9072"/>
        </w:tabs>
        <w:ind w:right="-22"/>
        <w:jc w:val="center"/>
        <w:rPr>
          <w:b/>
          <w:szCs w:val="24"/>
        </w:rPr>
      </w:pPr>
      <w:r w:rsidRPr="00CF5BB1">
        <w:rPr>
          <w:b/>
          <w:szCs w:val="24"/>
        </w:rPr>
        <w:t xml:space="preserve">      </w:t>
      </w:r>
      <w:r w:rsidR="00A1399A" w:rsidRPr="00CF5BB1">
        <w:rPr>
          <w:b/>
          <w:szCs w:val="24"/>
        </w:rPr>
        <w:t xml:space="preserve"> </w:t>
      </w:r>
      <w:r w:rsidRPr="00CF5BB1">
        <w:rPr>
          <w:b/>
          <w:szCs w:val="24"/>
        </w:rPr>
        <w:t xml:space="preserve"> </w:t>
      </w:r>
      <w:r w:rsidR="008C401E" w:rsidRPr="00CF5BB1">
        <w:rPr>
          <w:b/>
          <w:szCs w:val="24"/>
        </w:rPr>
        <w:t>-and-</w:t>
      </w:r>
    </w:p>
    <w:p w14:paraId="1D7BCF77" w14:textId="31D2D4CF" w:rsidR="008C401E" w:rsidRPr="00CF5BB1" w:rsidRDefault="008C401E" w:rsidP="008C401E">
      <w:pPr>
        <w:tabs>
          <w:tab w:val="left" w:pos="1185"/>
          <w:tab w:val="center" w:pos="4680"/>
          <w:tab w:val="right" w:pos="9072"/>
        </w:tabs>
        <w:ind w:right="-22"/>
        <w:jc w:val="center"/>
        <w:rPr>
          <w:b/>
          <w:szCs w:val="24"/>
        </w:rPr>
      </w:pPr>
    </w:p>
    <w:p w14:paraId="73A894C7" w14:textId="77777777" w:rsidR="00754A0E" w:rsidRPr="00CF5BB1" w:rsidRDefault="00AE0248" w:rsidP="00754A0E">
      <w:pPr>
        <w:pStyle w:val="Default"/>
        <w:jc w:val="center"/>
        <w:rPr>
          <w:rFonts w:ascii="Times New Roman" w:hAnsi="Times New Roman" w:cs="Times New Roman"/>
          <w:b/>
          <w:bCs/>
          <w:caps/>
        </w:rPr>
      </w:pPr>
      <w:r w:rsidRPr="00CF5BB1">
        <w:rPr>
          <w:rFonts w:ascii="Times New Roman" w:hAnsi="Times New Roman" w:cs="Times New Roman"/>
          <w:b/>
          <w:bCs/>
          <w:caps/>
        </w:rPr>
        <w:t xml:space="preserve">  </w:t>
      </w:r>
      <w:r w:rsidR="00754A0E" w:rsidRPr="00CF5BB1">
        <w:rPr>
          <w:rFonts w:ascii="Times New Roman" w:hAnsi="Times New Roman" w:cs="Times New Roman"/>
          <w:b/>
          <w:bCs/>
          <w:caps/>
        </w:rPr>
        <w:t xml:space="preserve">Metropolitan Borough Council of Stockport </w:t>
      </w:r>
    </w:p>
    <w:p w14:paraId="261A8C72" w14:textId="256094A0" w:rsidR="00CA5DEC" w:rsidRPr="00CF5BB1" w:rsidRDefault="00CA5DEC" w:rsidP="00EA7DCD">
      <w:pPr>
        <w:tabs>
          <w:tab w:val="left" w:pos="8880"/>
        </w:tabs>
        <w:suppressAutoHyphens/>
        <w:jc w:val="center"/>
        <w:rPr>
          <w:b/>
          <w:bCs/>
          <w:caps/>
          <w:szCs w:val="24"/>
        </w:rPr>
      </w:pPr>
    </w:p>
    <w:p w14:paraId="094EFC59" w14:textId="1D59B0E9" w:rsidR="008C401E" w:rsidRPr="00CA5F2F" w:rsidRDefault="00CA5DEC" w:rsidP="00CA5DEC">
      <w:pPr>
        <w:tabs>
          <w:tab w:val="left" w:pos="8880"/>
        </w:tabs>
        <w:suppressAutoHyphens/>
        <w:jc w:val="right"/>
        <w:rPr>
          <w:b/>
          <w:bCs/>
          <w:spacing w:val="0"/>
          <w:szCs w:val="24"/>
        </w:rPr>
      </w:pPr>
      <w:r w:rsidRPr="00CF5BB1">
        <w:rPr>
          <w:b/>
          <w:bCs/>
          <w:caps/>
          <w:szCs w:val="24"/>
        </w:rPr>
        <w:t xml:space="preserve"> </w:t>
      </w:r>
      <w:r w:rsidR="00CA5F2F">
        <w:rPr>
          <w:b/>
          <w:bCs/>
          <w:szCs w:val="24"/>
        </w:rPr>
        <w:t>Acquiring Authority</w:t>
      </w:r>
    </w:p>
    <w:p w14:paraId="003AD51B" w14:textId="77777777" w:rsidR="008C401E" w:rsidRPr="00CF5BB1" w:rsidRDefault="008C401E" w:rsidP="008C401E">
      <w:pPr>
        <w:tabs>
          <w:tab w:val="left" w:pos="1185"/>
          <w:tab w:val="center" w:pos="4680"/>
          <w:tab w:val="right" w:pos="9072"/>
        </w:tabs>
        <w:ind w:right="-22"/>
        <w:jc w:val="center"/>
        <w:rPr>
          <w:b/>
          <w:szCs w:val="24"/>
        </w:rPr>
      </w:pPr>
    </w:p>
    <w:p w14:paraId="649E275F" w14:textId="77777777" w:rsidR="00E10CE6" w:rsidRPr="00CF5BB1" w:rsidRDefault="00E10CE6" w:rsidP="00EF02F1">
      <w:pPr>
        <w:tabs>
          <w:tab w:val="left" w:pos="1185"/>
          <w:tab w:val="center" w:pos="4680"/>
          <w:tab w:val="right" w:pos="9072"/>
        </w:tabs>
        <w:ind w:right="-22"/>
        <w:rPr>
          <w:b/>
          <w:szCs w:val="24"/>
        </w:rPr>
      </w:pPr>
    </w:p>
    <w:tbl>
      <w:tblPr>
        <w:tblStyle w:val="PlainTable3"/>
        <w:tblW w:w="8981" w:type="dxa"/>
        <w:tblLayout w:type="fixed"/>
        <w:tblLook w:val="0600" w:firstRow="0" w:lastRow="0" w:firstColumn="0" w:lastColumn="0" w:noHBand="1" w:noVBand="1"/>
      </w:tblPr>
      <w:tblGrid>
        <w:gridCol w:w="1554"/>
        <w:gridCol w:w="6101"/>
        <w:gridCol w:w="1326"/>
      </w:tblGrid>
      <w:tr w:rsidR="00752AC1" w:rsidRPr="00CF5BB1" w14:paraId="2F834D01" w14:textId="77777777" w:rsidTr="00157B18">
        <w:trPr>
          <w:trHeight w:val="131"/>
        </w:trPr>
        <w:tc>
          <w:tcPr>
            <w:tcW w:w="1554" w:type="dxa"/>
          </w:tcPr>
          <w:p w14:paraId="0C430132" w14:textId="2B93F2CA" w:rsidR="00752AC1" w:rsidRPr="00CF5BB1" w:rsidRDefault="00752AC1" w:rsidP="00F02CD0">
            <w:pPr>
              <w:tabs>
                <w:tab w:val="center" w:pos="4680"/>
                <w:tab w:val="right" w:pos="9072"/>
              </w:tabs>
              <w:ind w:right="-22"/>
              <w:jc w:val="center"/>
              <w:rPr>
                <w:b/>
                <w:szCs w:val="24"/>
              </w:rPr>
            </w:pPr>
          </w:p>
        </w:tc>
        <w:tc>
          <w:tcPr>
            <w:tcW w:w="6101" w:type="dxa"/>
          </w:tcPr>
          <w:p w14:paraId="01919490" w14:textId="5360821E" w:rsidR="00367D90" w:rsidRPr="00CF5BB1" w:rsidRDefault="00367D90" w:rsidP="00F02CD0">
            <w:pPr>
              <w:pStyle w:val="ListParagraph"/>
              <w:tabs>
                <w:tab w:val="center" w:pos="4680"/>
                <w:tab w:val="right" w:pos="9072"/>
              </w:tabs>
              <w:ind w:left="3672" w:right="-22" w:hanging="3919"/>
              <w:jc w:val="center"/>
              <w:rPr>
                <w:b/>
                <w:szCs w:val="24"/>
              </w:rPr>
            </w:pPr>
          </w:p>
        </w:tc>
        <w:tc>
          <w:tcPr>
            <w:tcW w:w="1326" w:type="dxa"/>
          </w:tcPr>
          <w:p w14:paraId="48FD1108" w14:textId="77777777" w:rsidR="00752AC1" w:rsidRPr="00CF5BB1" w:rsidRDefault="00752AC1" w:rsidP="00EF4ECF">
            <w:pPr>
              <w:tabs>
                <w:tab w:val="center" w:pos="4680"/>
                <w:tab w:val="right" w:pos="9072"/>
              </w:tabs>
              <w:ind w:right="-22"/>
              <w:jc w:val="right"/>
              <w:rPr>
                <w:b/>
                <w:szCs w:val="24"/>
              </w:rPr>
            </w:pPr>
          </w:p>
        </w:tc>
      </w:tr>
    </w:tbl>
    <w:p w14:paraId="488B5C83" w14:textId="77777777" w:rsidR="00752AC1" w:rsidRPr="00CF5BB1" w:rsidRDefault="00752AC1" w:rsidP="00BF2B1E">
      <w:pPr>
        <w:tabs>
          <w:tab w:val="center" w:pos="4678"/>
          <w:tab w:val="right" w:pos="9072"/>
        </w:tabs>
        <w:ind w:right="-22"/>
        <w:rPr>
          <w:b/>
          <w:szCs w:val="24"/>
        </w:rPr>
      </w:pPr>
    </w:p>
    <w:p w14:paraId="59131AE0" w14:textId="77777777" w:rsidR="00F011BB" w:rsidRDefault="00E91767" w:rsidP="003A465E">
      <w:pPr>
        <w:pStyle w:val="Default"/>
        <w:jc w:val="center"/>
        <w:rPr>
          <w:rFonts w:ascii="Times New Roman" w:hAnsi="Times New Roman" w:cs="Times New Roman"/>
          <w:b/>
        </w:rPr>
      </w:pPr>
      <w:r w:rsidRPr="00CF5BB1">
        <w:rPr>
          <w:rFonts w:ascii="Times New Roman" w:hAnsi="Times New Roman" w:cs="Times New Roman"/>
          <w:b/>
        </w:rPr>
        <w:t xml:space="preserve">  Re:</w:t>
      </w:r>
      <w:r w:rsidR="00FA0056">
        <w:rPr>
          <w:rFonts w:ascii="Times New Roman" w:hAnsi="Times New Roman" w:cs="Times New Roman"/>
          <w:b/>
        </w:rPr>
        <w:t xml:space="preserve"> Land </w:t>
      </w:r>
      <w:r w:rsidR="00C771FB">
        <w:rPr>
          <w:rFonts w:ascii="Times New Roman" w:hAnsi="Times New Roman" w:cs="Times New Roman"/>
          <w:b/>
        </w:rPr>
        <w:t>to the East of the A523 Macclesfield Road,</w:t>
      </w:r>
    </w:p>
    <w:p w14:paraId="507B07D7" w14:textId="77777777" w:rsidR="00F011BB" w:rsidRDefault="00C771FB" w:rsidP="003A465E">
      <w:pPr>
        <w:pStyle w:val="Default"/>
        <w:jc w:val="center"/>
        <w:rPr>
          <w:rFonts w:ascii="Times New Roman" w:hAnsi="Times New Roman" w:cs="Times New Roman"/>
          <w:b/>
        </w:rPr>
      </w:pPr>
      <w:r>
        <w:rPr>
          <w:rFonts w:ascii="Times New Roman" w:hAnsi="Times New Roman" w:cs="Times New Roman"/>
          <w:b/>
        </w:rPr>
        <w:t xml:space="preserve"> Hazel Grove</w:t>
      </w:r>
      <w:r w:rsidR="00F011BB">
        <w:rPr>
          <w:rFonts w:ascii="Times New Roman" w:hAnsi="Times New Roman" w:cs="Times New Roman"/>
          <w:b/>
        </w:rPr>
        <w:t>,</w:t>
      </w:r>
    </w:p>
    <w:p w14:paraId="6F74E487" w14:textId="4CFAE6F4" w:rsidR="007960CB" w:rsidRPr="00986F3D" w:rsidRDefault="00F011BB" w:rsidP="003A465E">
      <w:pPr>
        <w:pStyle w:val="Default"/>
        <w:jc w:val="center"/>
        <w:rPr>
          <w:rFonts w:ascii="Times New Roman" w:hAnsi="Times New Roman" w:cs="Times New Roman"/>
          <w:b/>
          <w:bCs/>
          <w:shd w:val="clear" w:color="auto" w:fill="F0F0F0"/>
        </w:rPr>
      </w:pPr>
      <w:r>
        <w:rPr>
          <w:rFonts w:ascii="Times New Roman" w:hAnsi="Times New Roman" w:cs="Times New Roman"/>
          <w:b/>
        </w:rPr>
        <w:t xml:space="preserve"> Stockport</w:t>
      </w:r>
      <w:r w:rsidR="00E91767" w:rsidRPr="00CF5BB1">
        <w:rPr>
          <w:rFonts w:ascii="Times New Roman" w:hAnsi="Times New Roman" w:cs="Times New Roman"/>
          <w:b/>
          <w:bCs/>
        </w:rPr>
        <w:br/>
      </w:r>
    </w:p>
    <w:p w14:paraId="1FDF2490" w14:textId="485C72A6" w:rsidR="0030515D" w:rsidRPr="00CF5BB1" w:rsidRDefault="0030515D" w:rsidP="00B75633">
      <w:pPr>
        <w:pStyle w:val="Default"/>
        <w:jc w:val="center"/>
        <w:rPr>
          <w:rFonts w:ascii="Times New Roman" w:hAnsi="Times New Roman" w:cs="Times New Roman"/>
        </w:rPr>
      </w:pPr>
    </w:p>
    <w:p w14:paraId="6D9E6AD9" w14:textId="02F032C7" w:rsidR="00153F17" w:rsidRPr="00CF5BB1" w:rsidRDefault="00153F17" w:rsidP="003E7CEB">
      <w:pPr>
        <w:pStyle w:val="Default"/>
        <w:jc w:val="center"/>
        <w:rPr>
          <w:rFonts w:ascii="Times New Roman" w:hAnsi="Times New Roman" w:cs="Times New Roman"/>
          <w:b/>
        </w:rPr>
      </w:pPr>
    </w:p>
    <w:p w14:paraId="72C9135D" w14:textId="77777777" w:rsidR="00D7742D" w:rsidRPr="00CF5BB1" w:rsidRDefault="00D7742D" w:rsidP="001C09E8">
      <w:pPr>
        <w:pStyle w:val="Default"/>
        <w:rPr>
          <w:rFonts w:ascii="Times New Roman" w:hAnsi="Times New Roman" w:cs="Times New Roman"/>
          <w:b/>
        </w:rPr>
      </w:pPr>
    </w:p>
    <w:p w14:paraId="1952B273" w14:textId="4F115EFD" w:rsidR="004D5991" w:rsidRPr="00CF5BB1" w:rsidRDefault="00CA5F2F" w:rsidP="00262761">
      <w:pPr>
        <w:suppressAutoHyphens/>
        <w:jc w:val="center"/>
        <w:rPr>
          <w:b/>
          <w:szCs w:val="24"/>
        </w:rPr>
      </w:pPr>
      <w:r>
        <w:rPr>
          <w:b/>
          <w:szCs w:val="24"/>
        </w:rPr>
        <w:t xml:space="preserve">Mr </w:t>
      </w:r>
      <w:r w:rsidR="00CC39B2" w:rsidRPr="00CF5BB1">
        <w:rPr>
          <w:b/>
          <w:szCs w:val="24"/>
        </w:rPr>
        <w:t>Mark Higgin FRICS</w:t>
      </w:r>
    </w:p>
    <w:p w14:paraId="2225F421" w14:textId="34A27827" w:rsidR="00825BD5" w:rsidRPr="00CF5BB1" w:rsidRDefault="00825BD5" w:rsidP="00262761">
      <w:pPr>
        <w:suppressAutoHyphens/>
        <w:jc w:val="center"/>
        <w:rPr>
          <w:b/>
          <w:szCs w:val="24"/>
        </w:rPr>
      </w:pPr>
      <w:r w:rsidRPr="00CF5BB1">
        <w:rPr>
          <w:b/>
          <w:szCs w:val="24"/>
        </w:rPr>
        <w:t>Royal Courts of Justice</w:t>
      </w:r>
    </w:p>
    <w:p w14:paraId="57E83A32" w14:textId="50EC524B" w:rsidR="00825BD5" w:rsidRPr="00CF5BB1" w:rsidRDefault="00517D47" w:rsidP="00262761">
      <w:pPr>
        <w:suppressAutoHyphens/>
        <w:jc w:val="center"/>
        <w:rPr>
          <w:b/>
          <w:szCs w:val="24"/>
        </w:rPr>
      </w:pPr>
      <w:r w:rsidRPr="00CF5BB1">
        <w:rPr>
          <w:b/>
          <w:szCs w:val="24"/>
        </w:rPr>
        <w:t>9-10 September 2021</w:t>
      </w:r>
    </w:p>
    <w:p w14:paraId="709F6B3B" w14:textId="05C87433" w:rsidR="00D75611" w:rsidRPr="00CF5BB1" w:rsidRDefault="00D75611" w:rsidP="00262761">
      <w:pPr>
        <w:suppressAutoHyphens/>
        <w:jc w:val="center"/>
        <w:rPr>
          <w:b/>
          <w:szCs w:val="24"/>
        </w:rPr>
      </w:pPr>
    </w:p>
    <w:p w14:paraId="55CAD309" w14:textId="46C6E420" w:rsidR="00254DE1" w:rsidRPr="00CF5BB1" w:rsidRDefault="00254DE1" w:rsidP="00262761">
      <w:pPr>
        <w:suppressAutoHyphens/>
        <w:jc w:val="center"/>
        <w:rPr>
          <w:b/>
          <w:szCs w:val="24"/>
        </w:rPr>
      </w:pPr>
    </w:p>
    <w:p w14:paraId="2ACFB9D1" w14:textId="7E1862EF" w:rsidR="00267E1F" w:rsidRPr="00CF5BB1" w:rsidRDefault="00267E1F" w:rsidP="00022483">
      <w:pPr>
        <w:suppressAutoHyphens/>
        <w:rPr>
          <w:b/>
          <w:szCs w:val="24"/>
        </w:rPr>
      </w:pPr>
    </w:p>
    <w:p w14:paraId="7ACA2C3F" w14:textId="12DCB0C6" w:rsidR="00806FF9" w:rsidRPr="00CF5BB1" w:rsidRDefault="00806FF9" w:rsidP="00806FF9">
      <w:pPr>
        <w:tabs>
          <w:tab w:val="right" w:pos="9072"/>
        </w:tabs>
        <w:ind w:right="-22"/>
        <w:rPr>
          <w:szCs w:val="24"/>
        </w:rPr>
      </w:pPr>
      <w:r w:rsidRPr="00D6754B">
        <w:rPr>
          <w:i/>
          <w:iCs/>
          <w:szCs w:val="24"/>
        </w:rPr>
        <w:t>Jonathan Easton</w:t>
      </w:r>
      <w:r>
        <w:rPr>
          <w:szCs w:val="24"/>
        </w:rPr>
        <w:t>, instructed by</w:t>
      </w:r>
      <w:r w:rsidR="002C04D8">
        <w:rPr>
          <w:szCs w:val="24"/>
        </w:rPr>
        <w:t xml:space="preserve"> Shoosmiths LLP</w:t>
      </w:r>
      <w:r w:rsidR="004A11DF">
        <w:rPr>
          <w:szCs w:val="24"/>
        </w:rPr>
        <w:t>,</w:t>
      </w:r>
      <w:r w:rsidR="002C04D8">
        <w:rPr>
          <w:szCs w:val="24"/>
        </w:rPr>
        <w:t xml:space="preserve"> f</w:t>
      </w:r>
      <w:r w:rsidRPr="00CF5BB1">
        <w:rPr>
          <w:szCs w:val="24"/>
        </w:rPr>
        <w:t xml:space="preserve">or the </w:t>
      </w:r>
      <w:r>
        <w:rPr>
          <w:szCs w:val="24"/>
        </w:rPr>
        <w:t>claimants</w:t>
      </w:r>
    </w:p>
    <w:p w14:paraId="391063B9" w14:textId="0A12EB61" w:rsidR="00806FF9" w:rsidRPr="00CF5BB1" w:rsidRDefault="00806FF9" w:rsidP="00806FF9">
      <w:pPr>
        <w:tabs>
          <w:tab w:val="right" w:pos="9072"/>
        </w:tabs>
        <w:ind w:right="-22"/>
        <w:rPr>
          <w:szCs w:val="24"/>
        </w:rPr>
      </w:pPr>
      <w:r w:rsidRPr="00D6754B">
        <w:rPr>
          <w:i/>
          <w:iCs/>
          <w:szCs w:val="24"/>
        </w:rPr>
        <w:t>John Barrett</w:t>
      </w:r>
      <w:r>
        <w:rPr>
          <w:szCs w:val="24"/>
        </w:rPr>
        <w:t xml:space="preserve">, instructed by </w:t>
      </w:r>
      <w:r w:rsidR="002C04D8">
        <w:rPr>
          <w:szCs w:val="24"/>
        </w:rPr>
        <w:t>TLT LLP</w:t>
      </w:r>
      <w:r w:rsidR="004A11DF">
        <w:rPr>
          <w:szCs w:val="24"/>
        </w:rPr>
        <w:t>,</w:t>
      </w:r>
      <w:r w:rsidR="002C04D8">
        <w:rPr>
          <w:szCs w:val="24"/>
        </w:rPr>
        <w:t xml:space="preserve"> </w:t>
      </w:r>
      <w:r w:rsidRPr="00CF5BB1">
        <w:rPr>
          <w:szCs w:val="24"/>
        </w:rPr>
        <w:t>for the respondent</w:t>
      </w:r>
    </w:p>
    <w:p w14:paraId="78F6D2EA" w14:textId="60B6832A" w:rsidR="006648E8" w:rsidRDefault="006648E8" w:rsidP="00752AC1">
      <w:pPr>
        <w:tabs>
          <w:tab w:val="right" w:pos="9072"/>
        </w:tabs>
        <w:ind w:right="-22"/>
        <w:rPr>
          <w:szCs w:val="24"/>
        </w:rPr>
      </w:pPr>
    </w:p>
    <w:p w14:paraId="30064269" w14:textId="20981FD2" w:rsidR="00752AC1" w:rsidRPr="00CF5BB1" w:rsidRDefault="00206A70" w:rsidP="00752AC1">
      <w:pPr>
        <w:pStyle w:val="Footer"/>
        <w:jc w:val="center"/>
        <w:rPr>
          <w:b/>
          <w:szCs w:val="24"/>
        </w:rPr>
      </w:pPr>
      <w:r w:rsidRPr="00CF5BB1">
        <w:rPr>
          <w:b/>
          <w:szCs w:val="24"/>
        </w:rPr>
        <w:t>© CROWN COPYRIGHT 202</w:t>
      </w:r>
      <w:r w:rsidR="005C4F0A">
        <w:rPr>
          <w:b/>
          <w:szCs w:val="24"/>
        </w:rPr>
        <w:t>2</w:t>
      </w:r>
    </w:p>
    <w:p w14:paraId="7B2E8318" w14:textId="00AD3933" w:rsidR="00D26019" w:rsidRPr="00CF5BB1" w:rsidRDefault="00D26019">
      <w:pPr>
        <w:rPr>
          <w:b/>
          <w:szCs w:val="24"/>
          <w:u w:val="single"/>
        </w:rPr>
      </w:pPr>
    </w:p>
    <w:p w14:paraId="6E0C42D5" w14:textId="77777777" w:rsidR="001857A4" w:rsidRPr="00CF5BB1" w:rsidRDefault="001857A4" w:rsidP="00752AC1">
      <w:pPr>
        <w:rPr>
          <w:szCs w:val="24"/>
        </w:rPr>
      </w:pPr>
    </w:p>
    <w:p w14:paraId="2F6580B1" w14:textId="25710E3E" w:rsidR="00752AC1" w:rsidRDefault="00752AC1" w:rsidP="00752AC1">
      <w:pPr>
        <w:rPr>
          <w:szCs w:val="24"/>
        </w:rPr>
      </w:pPr>
      <w:r w:rsidRPr="00CF5BB1">
        <w:rPr>
          <w:szCs w:val="24"/>
        </w:rPr>
        <w:t>The following case</w:t>
      </w:r>
      <w:r w:rsidR="004A11DF">
        <w:rPr>
          <w:szCs w:val="24"/>
        </w:rPr>
        <w:t xml:space="preserve"> i</w:t>
      </w:r>
      <w:r w:rsidRPr="00CF5BB1">
        <w:rPr>
          <w:szCs w:val="24"/>
        </w:rPr>
        <w:t>s referred to in this decision:</w:t>
      </w:r>
    </w:p>
    <w:p w14:paraId="29FE220A" w14:textId="156CB3ED" w:rsidR="009A4009" w:rsidRDefault="009A4009" w:rsidP="00752AC1">
      <w:pPr>
        <w:rPr>
          <w:szCs w:val="24"/>
        </w:rPr>
      </w:pPr>
    </w:p>
    <w:p w14:paraId="429B4739" w14:textId="77777777" w:rsidR="009A4009" w:rsidRPr="007372F3" w:rsidRDefault="009A4009" w:rsidP="009A4009">
      <w:pPr>
        <w:pStyle w:val="CoverDesc"/>
        <w:jc w:val="left"/>
        <w:rPr>
          <w:b w:val="0"/>
          <w:bCs/>
          <w:sz w:val="24"/>
          <w:szCs w:val="24"/>
        </w:rPr>
      </w:pPr>
      <w:r w:rsidRPr="007372F3">
        <w:rPr>
          <w:b w:val="0"/>
          <w:bCs/>
          <w:i/>
          <w:iCs/>
          <w:sz w:val="24"/>
          <w:szCs w:val="24"/>
        </w:rPr>
        <w:t>Compton PC v Guildford BC</w:t>
      </w:r>
      <w:r w:rsidRPr="007372F3">
        <w:rPr>
          <w:b w:val="0"/>
          <w:bCs/>
          <w:sz w:val="24"/>
          <w:szCs w:val="24"/>
        </w:rPr>
        <w:t xml:space="preserve"> [2019] EWHC 3242 (Admin)</w:t>
      </w:r>
    </w:p>
    <w:p w14:paraId="063F39DB" w14:textId="77777777" w:rsidR="009A4009" w:rsidRPr="00CF5BB1" w:rsidRDefault="009A4009" w:rsidP="00752AC1">
      <w:pPr>
        <w:rPr>
          <w:szCs w:val="24"/>
        </w:rPr>
      </w:pPr>
    </w:p>
    <w:p w14:paraId="6406C863" w14:textId="77777777" w:rsidR="00752AC1" w:rsidRPr="00CF5BB1" w:rsidRDefault="00752AC1" w:rsidP="00752AC1">
      <w:pPr>
        <w:pStyle w:val="CoverDesc"/>
        <w:rPr>
          <w:sz w:val="24"/>
          <w:szCs w:val="24"/>
        </w:rPr>
      </w:pPr>
    </w:p>
    <w:p w14:paraId="73425FBE" w14:textId="77777777" w:rsidR="00752AC1" w:rsidRPr="00CF5BB1" w:rsidRDefault="00752AC1" w:rsidP="00752AC1">
      <w:pPr>
        <w:rPr>
          <w:szCs w:val="24"/>
        </w:rPr>
        <w:sectPr w:rsidR="00752AC1" w:rsidRPr="00CF5BB1" w:rsidSect="00081F15">
          <w:footerReference w:type="default" r:id="rId12"/>
          <w:footerReference w:type="first" r:id="rId13"/>
          <w:pgSz w:w="11909" w:h="16834" w:code="9"/>
          <w:pgMar w:top="720" w:right="1440" w:bottom="720" w:left="1440" w:header="720" w:footer="720" w:gutter="0"/>
          <w:pgNumType w:start="1"/>
          <w:cols w:space="720"/>
          <w:titlePg/>
          <w:docGrid w:linePitch="326"/>
        </w:sectPr>
      </w:pPr>
    </w:p>
    <w:p w14:paraId="545FFDCC" w14:textId="77777777" w:rsidR="00752AC1" w:rsidRPr="00CF5BB1" w:rsidRDefault="00752AC1" w:rsidP="00E53F22">
      <w:pPr>
        <w:pStyle w:val="Heading1"/>
        <w:spacing w:after="360"/>
        <w:rPr>
          <w:rFonts w:cs="Times New Roman"/>
          <w:szCs w:val="24"/>
        </w:rPr>
      </w:pPr>
      <w:r w:rsidRPr="00CF5BB1">
        <w:rPr>
          <w:rFonts w:cs="Times New Roman"/>
          <w:szCs w:val="24"/>
        </w:rPr>
        <w:lastRenderedPageBreak/>
        <w:t>Introduction</w:t>
      </w:r>
    </w:p>
    <w:p w14:paraId="561D1F9C" w14:textId="416B8A1D" w:rsidR="00194B7C" w:rsidRPr="000A043C" w:rsidRDefault="005E5F4B" w:rsidP="00C917CA">
      <w:pPr>
        <w:pStyle w:val="Normal2"/>
        <w:numPr>
          <w:ilvl w:val="0"/>
          <w:numId w:val="3"/>
        </w:numPr>
        <w:spacing w:after="360"/>
        <w:ind w:left="567" w:hanging="567"/>
        <w:rPr>
          <w:szCs w:val="24"/>
        </w:rPr>
      </w:pPr>
      <w:r w:rsidRPr="000A043C">
        <w:rPr>
          <w:szCs w:val="24"/>
        </w:rPr>
        <w:t xml:space="preserve">This is a reference to determine the amount of compensation payable to </w:t>
      </w:r>
      <w:r w:rsidR="00194B7C" w:rsidRPr="000A043C">
        <w:rPr>
          <w:szCs w:val="24"/>
        </w:rPr>
        <w:t xml:space="preserve">Martyn John Garner and Michael Paul Garner </w:t>
      </w:r>
      <w:r w:rsidRPr="000A043C">
        <w:rPr>
          <w:szCs w:val="24"/>
        </w:rPr>
        <w:t>(“the claimant</w:t>
      </w:r>
      <w:r w:rsidR="00194B7C" w:rsidRPr="000A043C">
        <w:rPr>
          <w:szCs w:val="24"/>
        </w:rPr>
        <w:t>s</w:t>
      </w:r>
      <w:r w:rsidRPr="000A043C">
        <w:rPr>
          <w:szCs w:val="24"/>
        </w:rPr>
        <w:t xml:space="preserve">”) following the compulsory purchase by </w:t>
      </w:r>
      <w:r w:rsidR="00194B7C" w:rsidRPr="000A043C">
        <w:rPr>
          <w:szCs w:val="24"/>
        </w:rPr>
        <w:t xml:space="preserve">Stockport Metropolitan Borough Council </w:t>
      </w:r>
      <w:r w:rsidRPr="000A043C">
        <w:rPr>
          <w:szCs w:val="24"/>
        </w:rPr>
        <w:t xml:space="preserve">(“the acquiring authority”) of </w:t>
      </w:r>
      <w:r w:rsidR="00194B7C" w:rsidRPr="000A043C">
        <w:rPr>
          <w:szCs w:val="24"/>
        </w:rPr>
        <w:t>t</w:t>
      </w:r>
      <w:r w:rsidRPr="000A043C">
        <w:rPr>
          <w:szCs w:val="24"/>
        </w:rPr>
        <w:t>he</w:t>
      </w:r>
      <w:r w:rsidR="00194B7C" w:rsidRPr="000A043C">
        <w:rPr>
          <w:szCs w:val="24"/>
        </w:rPr>
        <w:t>i</w:t>
      </w:r>
      <w:r w:rsidRPr="000A043C">
        <w:rPr>
          <w:szCs w:val="24"/>
        </w:rPr>
        <w:t xml:space="preserve">r freehold interest </w:t>
      </w:r>
      <w:r w:rsidR="00194B7C" w:rsidRPr="000A043C">
        <w:rPr>
          <w:szCs w:val="24"/>
        </w:rPr>
        <w:t>in land situated at Macclesfield Roa</w:t>
      </w:r>
      <w:r w:rsidRPr="000A043C">
        <w:rPr>
          <w:szCs w:val="24"/>
        </w:rPr>
        <w:t xml:space="preserve">d, </w:t>
      </w:r>
      <w:r w:rsidR="00194B7C" w:rsidRPr="000A043C">
        <w:rPr>
          <w:szCs w:val="24"/>
        </w:rPr>
        <w:t xml:space="preserve">Hazel Grove (“the </w:t>
      </w:r>
      <w:r w:rsidR="005E0BC1" w:rsidRPr="000A043C">
        <w:rPr>
          <w:szCs w:val="24"/>
        </w:rPr>
        <w:t>reference land</w:t>
      </w:r>
      <w:r w:rsidR="00194B7C" w:rsidRPr="000A043C">
        <w:rPr>
          <w:szCs w:val="24"/>
        </w:rPr>
        <w:t>”).</w:t>
      </w:r>
    </w:p>
    <w:p w14:paraId="4A42ACA9" w14:textId="5FB2E27E" w:rsidR="00904945" w:rsidRPr="003E7B16" w:rsidRDefault="00194B7C" w:rsidP="007E5D45">
      <w:pPr>
        <w:pStyle w:val="Normal2"/>
        <w:numPr>
          <w:ilvl w:val="0"/>
          <w:numId w:val="3"/>
        </w:numPr>
        <w:spacing w:after="360"/>
        <w:ind w:left="567" w:hanging="567"/>
        <w:rPr>
          <w:szCs w:val="24"/>
        </w:rPr>
      </w:pPr>
      <w:r w:rsidRPr="003E7B16">
        <w:rPr>
          <w:szCs w:val="24"/>
        </w:rPr>
        <w:t xml:space="preserve">The land is identified as Plot Nos. 2.4, 2.4A, 2.4B, 2.4C and 2.4D in the Metropolitan </w:t>
      </w:r>
      <w:r w:rsidR="00181F31" w:rsidRPr="003E7B16">
        <w:rPr>
          <w:szCs w:val="24"/>
        </w:rPr>
        <w:t>Borough of Stockport (Hazel Grove (A6) to Manchester Airport A555 Classified Road) Compulsory Purchase Order 2013 (“the Order”)</w:t>
      </w:r>
      <w:r w:rsidR="005E5F4B" w:rsidRPr="003E7B16">
        <w:rPr>
          <w:szCs w:val="24"/>
        </w:rPr>
        <w:t xml:space="preserve">, which was </w:t>
      </w:r>
      <w:r w:rsidR="005E0BC1" w:rsidRPr="003E7B16">
        <w:rPr>
          <w:szCs w:val="24"/>
        </w:rPr>
        <w:t>made</w:t>
      </w:r>
      <w:r w:rsidR="005E5F4B" w:rsidRPr="003E7B16">
        <w:rPr>
          <w:szCs w:val="24"/>
        </w:rPr>
        <w:t xml:space="preserve"> on </w:t>
      </w:r>
      <w:r w:rsidR="005E0BC1" w:rsidRPr="003E7B16">
        <w:rPr>
          <w:szCs w:val="24"/>
        </w:rPr>
        <w:t xml:space="preserve">6 December 2013. </w:t>
      </w:r>
      <w:r w:rsidR="005E5F4B" w:rsidRPr="003E7B16">
        <w:rPr>
          <w:szCs w:val="24"/>
        </w:rPr>
        <w:t xml:space="preserve"> </w:t>
      </w:r>
      <w:r w:rsidR="004A11DF" w:rsidRPr="003E7B16">
        <w:rPr>
          <w:szCs w:val="24"/>
        </w:rPr>
        <w:t>A</w:t>
      </w:r>
      <w:r w:rsidR="005E5F4B" w:rsidRPr="003E7B16">
        <w:rPr>
          <w:szCs w:val="24"/>
        </w:rPr>
        <w:t xml:space="preserve"> </w:t>
      </w:r>
      <w:r w:rsidR="00F335B8" w:rsidRPr="003E7B16">
        <w:rPr>
          <w:szCs w:val="24"/>
        </w:rPr>
        <w:t>N</w:t>
      </w:r>
      <w:r w:rsidR="00181F31" w:rsidRPr="003E7B16">
        <w:rPr>
          <w:szCs w:val="24"/>
        </w:rPr>
        <w:t xml:space="preserve">otice to </w:t>
      </w:r>
      <w:r w:rsidR="00F335B8" w:rsidRPr="003E7B16">
        <w:rPr>
          <w:szCs w:val="24"/>
        </w:rPr>
        <w:t>T</w:t>
      </w:r>
      <w:r w:rsidR="00181F31" w:rsidRPr="003E7B16">
        <w:rPr>
          <w:szCs w:val="24"/>
        </w:rPr>
        <w:t xml:space="preserve">reat was served on 9 February 2015 in relation to all of the plots and the acquiring authority served </w:t>
      </w:r>
      <w:r w:rsidR="002F0C9B" w:rsidRPr="003E7B16">
        <w:rPr>
          <w:szCs w:val="24"/>
        </w:rPr>
        <w:t xml:space="preserve">Notice </w:t>
      </w:r>
      <w:r w:rsidR="00181F31" w:rsidRPr="003E7B16">
        <w:rPr>
          <w:szCs w:val="24"/>
        </w:rPr>
        <w:t xml:space="preserve">of </w:t>
      </w:r>
      <w:r w:rsidR="002F0C9B" w:rsidRPr="003E7B16">
        <w:rPr>
          <w:szCs w:val="24"/>
        </w:rPr>
        <w:t xml:space="preserve">Entry </w:t>
      </w:r>
      <w:r w:rsidR="00181F31" w:rsidRPr="003E7B16">
        <w:rPr>
          <w:szCs w:val="24"/>
        </w:rPr>
        <w:t xml:space="preserve">and took possession of the land on 2 March 2015 </w:t>
      </w:r>
      <w:r w:rsidR="004E56BE" w:rsidRPr="003E7B16">
        <w:rPr>
          <w:szCs w:val="24"/>
        </w:rPr>
        <w:t>(except</w:t>
      </w:r>
      <w:r w:rsidR="00181F31" w:rsidRPr="003E7B16">
        <w:rPr>
          <w:szCs w:val="24"/>
        </w:rPr>
        <w:t xml:space="preserve"> </w:t>
      </w:r>
      <w:r w:rsidR="004E56BE" w:rsidRPr="003E7B16">
        <w:rPr>
          <w:szCs w:val="24"/>
        </w:rPr>
        <w:t>P</w:t>
      </w:r>
      <w:r w:rsidR="00181F31" w:rsidRPr="003E7B16">
        <w:rPr>
          <w:szCs w:val="24"/>
        </w:rPr>
        <w:t xml:space="preserve">lot </w:t>
      </w:r>
      <w:r w:rsidR="005B5F8E" w:rsidRPr="003E7B16">
        <w:rPr>
          <w:szCs w:val="24"/>
        </w:rPr>
        <w:t>No.</w:t>
      </w:r>
      <w:r w:rsidR="00181F31" w:rsidRPr="003E7B16">
        <w:rPr>
          <w:szCs w:val="24"/>
        </w:rPr>
        <w:t xml:space="preserve"> 2.4 where possession was taken on 4 March 2015</w:t>
      </w:r>
      <w:r w:rsidR="004E56BE" w:rsidRPr="003E7B16">
        <w:rPr>
          <w:szCs w:val="24"/>
        </w:rPr>
        <w:t>)</w:t>
      </w:r>
      <w:r w:rsidR="00181F31" w:rsidRPr="003E7B16">
        <w:rPr>
          <w:szCs w:val="24"/>
        </w:rPr>
        <w:t>. The agreed</w:t>
      </w:r>
      <w:r w:rsidR="005E5F4B" w:rsidRPr="003E7B16">
        <w:rPr>
          <w:szCs w:val="24"/>
        </w:rPr>
        <w:t xml:space="preserve"> valuation date</w:t>
      </w:r>
      <w:r w:rsidR="004E56BE" w:rsidRPr="003E7B16">
        <w:rPr>
          <w:szCs w:val="24"/>
        </w:rPr>
        <w:t xml:space="preserve"> is</w:t>
      </w:r>
      <w:r w:rsidR="005E5F4B" w:rsidRPr="003E7B16">
        <w:rPr>
          <w:szCs w:val="24"/>
        </w:rPr>
        <w:t xml:space="preserve"> </w:t>
      </w:r>
      <w:r w:rsidR="00181F31" w:rsidRPr="003E7B16">
        <w:rPr>
          <w:szCs w:val="24"/>
        </w:rPr>
        <w:t>2 March 2015</w:t>
      </w:r>
      <w:r w:rsidR="006C4CD6" w:rsidRPr="003E7B16">
        <w:rPr>
          <w:rStyle w:val="markedcontent"/>
          <w:sz w:val="22"/>
          <w:szCs w:val="22"/>
        </w:rPr>
        <w:t xml:space="preserve"> </w:t>
      </w:r>
      <w:r w:rsidR="004E56BE" w:rsidRPr="003E7B16">
        <w:rPr>
          <w:rStyle w:val="markedcontent"/>
          <w:szCs w:val="24"/>
        </w:rPr>
        <w:t xml:space="preserve">but </w:t>
      </w:r>
      <w:r w:rsidR="00FA0568" w:rsidRPr="003E7B16">
        <w:rPr>
          <w:szCs w:val="24"/>
        </w:rPr>
        <w:t>4</w:t>
      </w:r>
      <w:r w:rsidR="00FA0568" w:rsidRPr="003E7B16">
        <w:rPr>
          <w:szCs w:val="24"/>
          <w:vertAlign w:val="superscript"/>
        </w:rPr>
        <w:t xml:space="preserve"> </w:t>
      </w:r>
      <w:r w:rsidR="00FA0568" w:rsidRPr="003E7B16">
        <w:rPr>
          <w:rStyle w:val="markedcontent"/>
          <w:szCs w:val="24"/>
        </w:rPr>
        <w:t>March 2015</w:t>
      </w:r>
      <w:r w:rsidR="004E56BE" w:rsidRPr="003E7B16">
        <w:rPr>
          <w:rStyle w:val="markedcontent"/>
          <w:szCs w:val="24"/>
        </w:rPr>
        <w:t xml:space="preserve"> for Plot No.2.4</w:t>
      </w:r>
      <w:r w:rsidR="00FA0568" w:rsidRPr="003E7B16">
        <w:rPr>
          <w:rStyle w:val="markedcontent"/>
          <w:szCs w:val="24"/>
        </w:rPr>
        <w:t>.</w:t>
      </w:r>
      <w:r w:rsidR="003E7B16">
        <w:rPr>
          <w:rStyle w:val="markedcontent"/>
          <w:szCs w:val="24"/>
        </w:rPr>
        <w:t xml:space="preserve">  </w:t>
      </w:r>
      <w:r w:rsidR="006635D0">
        <w:rPr>
          <w:rStyle w:val="markedcontent"/>
          <w:szCs w:val="24"/>
        </w:rPr>
        <w:t>There is no material difference between the two.</w:t>
      </w:r>
    </w:p>
    <w:p w14:paraId="23C12D9E" w14:textId="3CFDF61C" w:rsidR="00B229AA" w:rsidRPr="003E7B16" w:rsidRDefault="004E56BE" w:rsidP="00C917CA">
      <w:pPr>
        <w:pStyle w:val="Normal2"/>
        <w:numPr>
          <w:ilvl w:val="0"/>
          <w:numId w:val="3"/>
        </w:numPr>
        <w:spacing w:after="360"/>
        <w:ind w:left="567" w:hanging="567"/>
        <w:rPr>
          <w:szCs w:val="24"/>
        </w:rPr>
      </w:pPr>
      <w:r w:rsidRPr="003E7B16">
        <w:rPr>
          <w:szCs w:val="24"/>
        </w:rPr>
        <w:t>At t</w:t>
      </w:r>
      <w:r w:rsidR="00B229AA" w:rsidRPr="003E7B16">
        <w:rPr>
          <w:szCs w:val="24"/>
        </w:rPr>
        <w:t>he</w:t>
      </w:r>
      <w:r w:rsidRPr="003E7B16">
        <w:rPr>
          <w:szCs w:val="24"/>
        </w:rPr>
        <w:t xml:space="preserve"> hearing of the</w:t>
      </w:r>
      <w:r w:rsidR="00B229AA" w:rsidRPr="003E7B16">
        <w:rPr>
          <w:szCs w:val="24"/>
        </w:rPr>
        <w:t xml:space="preserve"> </w:t>
      </w:r>
      <w:r w:rsidRPr="003E7B16">
        <w:rPr>
          <w:szCs w:val="24"/>
        </w:rPr>
        <w:t>reference</w:t>
      </w:r>
      <w:r w:rsidR="00B229AA" w:rsidRPr="003E7B16">
        <w:rPr>
          <w:szCs w:val="24"/>
        </w:rPr>
        <w:t xml:space="preserve"> </w:t>
      </w:r>
      <w:r w:rsidRPr="003E7B16">
        <w:rPr>
          <w:szCs w:val="24"/>
        </w:rPr>
        <w:t>t</w:t>
      </w:r>
      <w:r w:rsidR="00B229AA" w:rsidRPr="003E7B16">
        <w:rPr>
          <w:szCs w:val="24"/>
        </w:rPr>
        <w:t xml:space="preserve">he claimant was represented by Mr </w:t>
      </w:r>
      <w:r w:rsidR="00F03D83" w:rsidRPr="003E7B16">
        <w:rPr>
          <w:szCs w:val="24"/>
        </w:rPr>
        <w:t>Jonathan Easton</w:t>
      </w:r>
      <w:r w:rsidR="00B229AA" w:rsidRPr="003E7B16">
        <w:rPr>
          <w:szCs w:val="24"/>
        </w:rPr>
        <w:t xml:space="preserve"> and the respondent by Mr </w:t>
      </w:r>
      <w:r w:rsidR="00F03D83" w:rsidRPr="003E7B16">
        <w:rPr>
          <w:szCs w:val="24"/>
        </w:rPr>
        <w:t>John Barrett</w:t>
      </w:r>
      <w:r w:rsidR="006635D0">
        <w:rPr>
          <w:szCs w:val="24"/>
        </w:rPr>
        <w:t>,</w:t>
      </w:r>
      <w:r w:rsidR="008A5C48">
        <w:rPr>
          <w:szCs w:val="24"/>
        </w:rPr>
        <w:t xml:space="preserve"> both of Counsel</w:t>
      </w:r>
      <w:r w:rsidR="00F03D83" w:rsidRPr="003E7B16">
        <w:rPr>
          <w:szCs w:val="24"/>
        </w:rPr>
        <w:t>.</w:t>
      </w:r>
      <w:r w:rsidR="00B229AA" w:rsidRPr="003E7B16">
        <w:rPr>
          <w:szCs w:val="24"/>
        </w:rPr>
        <w:t xml:space="preserve"> </w:t>
      </w:r>
      <w:r w:rsidR="00F03D83" w:rsidRPr="003E7B16">
        <w:rPr>
          <w:szCs w:val="24"/>
        </w:rPr>
        <w:t xml:space="preserve">I </w:t>
      </w:r>
      <w:r w:rsidR="0083504B" w:rsidRPr="003E7B16">
        <w:rPr>
          <w:szCs w:val="24"/>
        </w:rPr>
        <w:t xml:space="preserve">am grateful to them both for their </w:t>
      </w:r>
      <w:r w:rsidR="00DD08B0" w:rsidRPr="003E7B16">
        <w:rPr>
          <w:szCs w:val="24"/>
        </w:rPr>
        <w:t>helpful arguments.</w:t>
      </w:r>
    </w:p>
    <w:p w14:paraId="4ABEA445" w14:textId="77777777" w:rsidR="00192CCA" w:rsidRPr="00192CCA" w:rsidRDefault="00F03D83" w:rsidP="00CC50C6">
      <w:pPr>
        <w:pStyle w:val="Normal2"/>
        <w:numPr>
          <w:ilvl w:val="0"/>
          <w:numId w:val="3"/>
        </w:numPr>
        <w:spacing w:after="360"/>
        <w:ind w:left="567" w:hanging="567"/>
        <w:rPr>
          <w:b/>
          <w:bCs/>
          <w:szCs w:val="24"/>
        </w:rPr>
      </w:pPr>
      <w:r w:rsidRPr="00192CCA">
        <w:rPr>
          <w:szCs w:val="24"/>
        </w:rPr>
        <w:t xml:space="preserve">In the paragraphs that follow I will firstly </w:t>
      </w:r>
      <w:r w:rsidR="005B5F8E" w:rsidRPr="00192CCA">
        <w:rPr>
          <w:szCs w:val="24"/>
        </w:rPr>
        <w:t xml:space="preserve">examine </w:t>
      </w:r>
      <w:r w:rsidRPr="00192CCA">
        <w:rPr>
          <w:szCs w:val="24"/>
        </w:rPr>
        <w:t xml:space="preserve">the factual background to the reference and then consider the evidence and arguments made in relation to planning, valuation, injurious affection and disturbance.  </w:t>
      </w:r>
    </w:p>
    <w:p w14:paraId="78AFAEB4" w14:textId="0E436677" w:rsidR="00D22C5B" w:rsidRPr="00192CCA" w:rsidRDefault="00D22C5B" w:rsidP="00395B15">
      <w:pPr>
        <w:pStyle w:val="Normal2"/>
        <w:spacing w:after="360"/>
        <w:rPr>
          <w:b/>
          <w:bCs/>
          <w:szCs w:val="24"/>
        </w:rPr>
      </w:pPr>
      <w:r w:rsidRPr="00192CCA">
        <w:rPr>
          <w:b/>
          <w:bCs/>
          <w:szCs w:val="24"/>
        </w:rPr>
        <w:t>Background</w:t>
      </w:r>
    </w:p>
    <w:p w14:paraId="2F4DDF73" w14:textId="4FD9F356" w:rsidR="00532DEC" w:rsidRPr="00CF5BB1" w:rsidRDefault="00532DEC" w:rsidP="00313B01">
      <w:pPr>
        <w:pStyle w:val="Normal2"/>
        <w:numPr>
          <w:ilvl w:val="0"/>
          <w:numId w:val="3"/>
        </w:numPr>
        <w:spacing w:after="360"/>
        <w:ind w:left="567" w:hanging="567"/>
        <w:rPr>
          <w:szCs w:val="24"/>
        </w:rPr>
      </w:pPr>
      <w:r>
        <w:rPr>
          <w:szCs w:val="24"/>
        </w:rPr>
        <w:t xml:space="preserve">The land was taken to facilitate the construction of the Manchester Airport Relief Road </w:t>
      </w:r>
      <w:r w:rsidR="00863848">
        <w:rPr>
          <w:szCs w:val="24"/>
        </w:rPr>
        <w:t xml:space="preserve">(known as the A6-MARR) </w:t>
      </w:r>
      <w:r>
        <w:rPr>
          <w:szCs w:val="24"/>
        </w:rPr>
        <w:t>which links the airport with the A6 Trunk Road.  The road opened in October 2018.</w:t>
      </w:r>
    </w:p>
    <w:p w14:paraId="2502A389" w14:textId="4645BC5A" w:rsidR="00532DEC" w:rsidRPr="00CF5BB1" w:rsidRDefault="00D22C5B" w:rsidP="00313B01">
      <w:pPr>
        <w:pStyle w:val="Normal2"/>
        <w:numPr>
          <w:ilvl w:val="0"/>
          <w:numId w:val="3"/>
        </w:numPr>
        <w:spacing w:after="360"/>
        <w:ind w:left="567" w:hanging="567"/>
        <w:rPr>
          <w:szCs w:val="24"/>
        </w:rPr>
      </w:pPr>
      <w:r w:rsidRPr="00D22C5B">
        <w:rPr>
          <w:szCs w:val="24"/>
        </w:rPr>
        <w:t xml:space="preserve">The land is situated </w:t>
      </w:r>
      <w:r>
        <w:rPr>
          <w:szCs w:val="24"/>
        </w:rPr>
        <w:t>at the</w:t>
      </w:r>
      <w:r w:rsidRPr="00D22C5B">
        <w:rPr>
          <w:szCs w:val="24"/>
        </w:rPr>
        <w:t xml:space="preserve"> southern extremity of Hazel Grove immediately adjacent to the </w:t>
      </w:r>
      <w:r>
        <w:rPr>
          <w:szCs w:val="24"/>
        </w:rPr>
        <w:t>A</w:t>
      </w:r>
      <w:r w:rsidRPr="00D22C5B">
        <w:rPr>
          <w:szCs w:val="24"/>
        </w:rPr>
        <w:t>523 Macclesfield R</w:t>
      </w:r>
      <w:r w:rsidR="003717D0">
        <w:rPr>
          <w:szCs w:val="24"/>
        </w:rPr>
        <w:t>oad</w:t>
      </w:r>
      <w:r w:rsidRPr="00D22C5B">
        <w:rPr>
          <w:szCs w:val="24"/>
        </w:rPr>
        <w:t>.</w:t>
      </w:r>
      <w:r>
        <w:rPr>
          <w:szCs w:val="24"/>
        </w:rPr>
        <w:t xml:space="preserve">   </w:t>
      </w:r>
      <w:r w:rsidR="004A5CEF">
        <w:rPr>
          <w:szCs w:val="24"/>
        </w:rPr>
        <w:t>This</w:t>
      </w:r>
      <w:r w:rsidR="00532DEC" w:rsidRPr="00532DEC">
        <w:rPr>
          <w:szCs w:val="24"/>
        </w:rPr>
        <w:t xml:space="preserve"> is the primary trunk road linking Macclesfield and Poynton with Stockport.   Stockport town centre is located about 3.8 miles to the north of the reference land.    </w:t>
      </w:r>
    </w:p>
    <w:p w14:paraId="77762005" w14:textId="46823D54" w:rsidR="000423C2" w:rsidRPr="000423C2" w:rsidRDefault="003C7D4B" w:rsidP="00395B15">
      <w:pPr>
        <w:pStyle w:val="ListParagraph"/>
        <w:numPr>
          <w:ilvl w:val="0"/>
          <w:numId w:val="3"/>
        </w:numPr>
        <w:spacing w:before="120" w:after="360"/>
        <w:ind w:left="567" w:hanging="567"/>
        <w:contextualSpacing w:val="0"/>
        <w:jc w:val="both"/>
        <w:rPr>
          <w:szCs w:val="24"/>
        </w:rPr>
      </w:pPr>
      <w:r>
        <w:rPr>
          <w:szCs w:val="24"/>
        </w:rPr>
        <w:t xml:space="preserve">Prior to the </w:t>
      </w:r>
      <w:r w:rsidR="00E26B04">
        <w:rPr>
          <w:szCs w:val="24"/>
        </w:rPr>
        <w:t>acquisition the claimant</w:t>
      </w:r>
      <w:r w:rsidR="0080267F">
        <w:rPr>
          <w:szCs w:val="24"/>
        </w:rPr>
        <w:t>’</w:t>
      </w:r>
      <w:r w:rsidR="00E26B04">
        <w:rPr>
          <w:szCs w:val="24"/>
        </w:rPr>
        <w:t xml:space="preserve">s land </w:t>
      </w:r>
      <w:r w:rsidR="00D22C5B" w:rsidRPr="000423C2">
        <w:rPr>
          <w:szCs w:val="24"/>
        </w:rPr>
        <w:t xml:space="preserve">comprised three elements, namely </w:t>
      </w:r>
      <w:r w:rsidR="005E48D4">
        <w:rPr>
          <w:szCs w:val="24"/>
        </w:rPr>
        <w:t>16</w:t>
      </w:r>
      <w:r w:rsidR="00F30DCF">
        <w:rPr>
          <w:szCs w:val="24"/>
        </w:rPr>
        <w:t>.65 acres</w:t>
      </w:r>
      <w:r w:rsidR="009966FA" w:rsidRPr="000423C2">
        <w:rPr>
          <w:szCs w:val="24"/>
        </w:rPr>
        <w:t xml:space="preserve"> </w:t>
      </w:r>
      <w:r w:rsidR="00D22C5B" w:rsidRPr="000423C2">
        <w:rPr>
          <w:szCs w:val="24"/>
        </w:rPr>
        <w:t xml:space="preserve">of grazing land (“the </w:t>
      </w:r>
      <w:r w:rsidR="005E0BC1" w:rsidRPr="000423C2">
        <w:rPr>
          <w:szCs w:val="24"/>
        </w:rPr>
        <w:t>g</w:t>
      </w:r>
      <w:r w:rsidR="00D22C5B" w:rsidRPr="000423C2">
        <w:rPr>
          <w:szCs w:val="24"/>
        </w:rPr>
        <w:t xml:space="preserve">razing </w:t>
      </w:r>
      <w:r w:rsidR="005E0BC1" w:rsidRPr="000423C2">
        <w:rPr>
          <w:szCs w:val="24"/>
        </w:rPr>
        <w:t>l</w:t>
      </w:r>
      <w:r w:rsidR="00D22C5B" w:rsidRPr="000423C2">
        <w:rPr>
          <w:szCs w:val="24"/>
        </w:rPr>
        <w:t>and”</w:t>
      </w:r>
      <w:r w:rsidR="005966FC" w:rsidRPr="000423C2">
        <w:rPr>
          <w:szCs w:val="24"/>
        </w:rPr>
        <w:t>),</w:t>
      </w:r>
      <w:r w:rsidR="005966FC">
        <w:rPr>
          <w:szCs w:val="24"/>
        </w:rPr>
        <w:t xml:space="preserve"> 2.94</w:t>
      </w:r>
      <w:r w:rsidR="00DC166E">
        <w:rPr>
          <w:szCs w:val="24"/>
        </w:rPr>
        <w:t xml:space="preserve"> acres</w:t>
      </w:r>
      <w:r w:rsidR="009966FA" w:rsidRPr="000423C2">
        <w:rPr>
          <w:szCs w:val="24"/>
        </w:rPr>
        <w:t xml:space="preserve"> </w:t>
      </w:r>
      <w:r w:rsidR="00D22C5B" w:rsidRPr="000423C2">
        <w:rPr>
          <w:szCs w:val="24"/>
        </w:rPr>
        <w:t>of land used as a car park</w:t>
      </w:r>
      <w:r w:rsidR="005E0BC1" w:rsidRPr="000423C2">
        <w:rPr>
          <w:szCs w:val="24"/>
        </w:rPr>
        <w:t xml:space="preserve"> (</w:t>
      </w:r>
      <w:r w:rsidR="00E37ECE">
        <w:rPr>
          <w:szCs w:val="24"/>
        </w:rPr>
        <w:t>“</w:t>
      </w:r>
      <w:r w:rsidR="005E0BC1" w:rsidRPr="000423C2">
        <w:rPr>
          <w:szCs w:val="24"/>
        </w:rPr>
        <w:t>the car park land</w:t>
      </w:r>
      <w:r w:rsidR="00E37ECE">
        <w:rPr>
          <w:szCs w:val="24"/>
        </w:rPr>
        <w:t>”</w:t>
      </w:r>
      <w:r w:rsidR="005E0BC1" w:rsidRPr="000423C2">
        <w:rPr>
          <w:szCs w:val="24"/>
        </w:rPr>
        <w:t>)</w:t>
      </w:r>
      <w:r w:rsidR="00D22C5B" w:rsidRPr="000423C2">
        <w:rPr>
          <w:szCs w:val="24"/>
        </w:rPr>
        <w:t>, and a site used for a telecommunications mast.</w:t>
      </w:r>
      <w:r w:rsidR="000423C2" w:rsidRPr="000423C2">
        <w:rPr>
          <w:szCs w:val="24"/>
        </w:rPr>
        <w:t xml:space="preserve">  The acquiring authority took possession of </w:t>
      </w:r>
      <w:r w:rsidR="00511EDA">
        <w:rPr>
          <w:szCs w:val="24"/>
        </w:rPr>
        <w:t>9</w:t>
      </w:r>
      <w:r w:rsidR="00401C29">
        <w:rPr>
          <w:szCs w:val="24"/>
        </w:rPr>
        <w:t>.2</w:t>
      </w:r>
      <w:r w:rsidR="000B721F">
        <w:rPr>
          <w:szCs w:val="24"/>
        </w:rPr>
        <w:t>24</w:t>
      </w:r>
      <w:r w:rsidR="00C3172E">
        <w:rPr>
          <w:szCs w:val="24"/>
        </w:rPr>
        <w:t xml:space="preserve"> acres</w:t>
      </w:r>
      <w:r w:rsidR="000423C2" w:rsidRPr="000423C2">
        <w:rPr>
          <w:szCs w:val="24"/>
        </w:rPr>
        <w:t xml:space="preserve"> of the grazing land, and </w:t>
      </w:r>
      <w:r w:rsidR="003B62B6" w:rsidRPr="000423C2">
        <w:rPr>
          <w:szCs w:val="24"/>
        </w:rPr>
        <w:t>0.</w:t>
      </w:r>
      <w:r w:rsidR="003B62B6">
        <w:rPr>
          <w:szCs w:val="24"/>
        </w:rPr>
        <w:t>55 acres</w:t>
      </w:r>
      <w:r w:rsidR="000423C2" w:rsidRPr="000423C2">
        <w:rPr>
          <w:szCs w:val="24"/>
        </w:rPr>
        <w:t xml:space="preserve"> of the car park land.  Additionally, an area of </w:t>
      </w:r>
      <w:r w:rsidR="00FE1788">
        <w:rPr>
          <w:szCs w:val="24"/>
        </w:rPr>
        <w:t>0.26 acres</w:t>
      </w:r>
      <w:r w:rsidR="000423C2" w:rsidRPr="000423C2">
        <w:rPr>
          <w:szCs w:val="24"/>
        </w:rPr>
        <w:t xml:space="preserve"> contained within Plot Nos. 2.4B and 2.4C </w:t>
      </w:r>
      <w:r w:rsidR="00FE1788" w:rsidRPr="000423C2">
        <w:rPr>
          <w:szCs w:val="24"/>
        </w:rPr>
        <w:t>w</w:t>
      </w:r>
      <w:r w:rsidR="00FE1788">
        <w:rPr>
          <w:szCs w:val="24"/>
        </w:rPr>
        <w:t>as</w:t>
      </w:r>
      <w:r w:rsidR="00FE1788" w:rsidRPr="000423C2">
        <w:rPr>
          <w:szCs w:val="24"/>
        </w:rPr>
        <w:t xml:space="preserve"> </w:t>
      </w:r>
      <w:r w:rsidR="000423C2" w:rsidRPr="000423C2">
        <w:rPr>
          <w:szCs w:val="24"/>
        </w:rPr>
        <w:t>acquired for drainage easements.</w:t>
      </w:r>
      <w:r w:rsidR="00133ED6">
        <w:rPr>
          <w:szCs w:val="24"/>
        </w:rPr>
        <w:t xml:space="preserve"> </w:t>
      </w:r>
    </w:p>
    <w:p w14:paraId="64A2668E" w14:textId="417A5C19" w:rsidR="000D4748" w:rsidRPr="00192CCA" w:rsidRDefault="00D22C5B" w:rsidP="00192CCA">
      <w:pPr>
        <w:pStyle w:val="Normal2"/>
        <w:numPr>
          <w:ilvl w:val="0"/>
          <w:numId w:val="3"/>
        </w:numPr>
        <w:spacing w:after="360"/>
        <w:ind w:left="567" w:hanging="567"/>
        <w:rPr>
          <w:szCs w:val="24"/>
        </w:rPr>
      </w:pPr>
      <w:r w:rsidRPr="00192CCA">
        <w:rPr>
          <w:szCs w:val="24"/>
        </w:rPr>
        <w:t xml:space="preserve">The </w:t>
      </w:r>
      <w:r w:rsidR="005E0BC1" w:rsidRPr="00192CCA">
        <w:rPr>
          <w:szCs w:val="24"/>
        </w:rPr>
        <w:t>g</w:t>
      </w:r>
      <w:r w:rsidRPr="00192CCA">
        <w:rPr>
          <w:szCs w:val="24"/>
        </w:rPr>
        <w:t xml:space="preserve">razing </w:t>
      </w:r>
      <w:r w:rsidR="005E0BC1" w:rsidRPr="00192CCA">
        <w:rPr>
          <w:szCs w:val="24"/>
        </w:rPr>
        <w:t>l</w:t>
      </w:r>
      <w:r w:rsidRPr="00192CCA">
        <w:rPr>
          <w:szCs w:val="24"/>
        </w:rPr>
        <w:t>and h</w:t>
      </w:r>
      <w:r w:rsidR="005B5F8E" w:rsidRPr="00192CCA">
        <w:rPr>
          <w:szCs w:val="24"/>
        </w:rPr>
        <w:t>ad</w:t>
      </w:r>
      <w:r w:rsidRPr="00192CCA">
        <w:rPr>
          <w:szCs w:val="24"/>
        </w:rPr>
        <w:t xml:space="preserve"> frontage onto the Macclesfield Rd with direct access by means of a metal gate. </w:t>
      </w:r>
      <w:r w:rsidR="005B5F8E" w:rsidRPr="00192CCA">
        <w:rPr>
          <w:szCs w:val="24"/>
        </w:rPr>
        <w:t xml:space="preserve"> The land was bounded on its northern side by housing developed in the 1950s and on its southern side by a garden centre and car park.  The eastern boundary adjoined further grazing land which was in the occupation of the </w:t>
      </w:r>
      <w:r w:rsidR="008C42F0" w:rsidRPr="00192CCA">
        <w:rPr>
          <w:szCs w:val="24"/>
        </w:rPr>
        <w:t xml:space="preserve">same farmer to whom the </w:t>
      </w:r>
      <w:r w:rsidR="00792D66" w:rsidRPr="00192CCA">
        <w:rPr>
          <w:szCs w:val="24"/>
        </w:rPr>
        <w:t>g</w:t>
      </w:r>
      <w:r w:rsidR="008C42F0" w:rsidRPr="00192CCA">
        <w:rPr>
          <w:szCs w:val="24"/>
        </w:rPr>
        <w:t xml:space="preserve">razing </w:t>
      </w:r>
      <w:r w:rsidR="00792D66" w:rsidRPr="00192CCA">
        <w:rPr>
          <w:szCs w:val="24"/>
        </w:rPr>
        <w:lastRenderedPageBreak/>
        <w:t>l</w:t>
      </w:r>
      <w:r w:rsidR="008C42F0" w:rsidRPr="00192CCA">
        <w:rPr>
          <w:szCs w:val="24"/>
        </w:rPr>
        <w:t>and was let.</w:t>
      </w:r>
      <w:r w:rsidR="00F22CDA" w:rsidRPr="00192CCA">
        <w:rPr>
          <w:szCs w:val="24"/>
        </w:rPr>
        <w:t xml:space="preserve">   </w:t>
      </w:r>
      <w:r w:rsidR="00492351" w:rsidRPr="00192CCA">
        <w:rPr>
          <w:szCs w:val="24"/>
        </w:rPr>
        <w:t xml:space="preserve"> A small stream known as </w:t>
      </w:r>
      <w:r w:rsidR="00F22CDA" w:rsidRPr="00192CCA">
        <w:rPr>
          <w:szCs w:val="24"/>
        </w:rPr>
        <w:t>Norbury Brook flowed on a</w:t>
      </w:r>
      <w:r w:rsidR="009D168E" w:rsidRPr="00192CCA">
        <w:rPr>
          <w:szCs w:val="24"/>
        </w:rPr>
        <w:t>n east-west axis through the land.</w:t>
      </w:r>
      <w:r w:rsidR="000D4748" w:rsidRPr="00192CCA">
        <w:rPr>
          <w:szCs w:val="24"/>
        </w:rPr>
        <w:t xml:space="preserve">   Prior to construction of the road, the grazing land was a greenfield site immediately adjacent to the southern edge of the district of Hazel Grove which is contiguous with the Greater Manchester conurbation.  There is suburban housing development immediately to the north on Darley Road and existing built development on the western side of Macclesfield Road. Brookside Garden Centre, with a range of built structures and a car park, is located immediately to the south. The residential area of Poynton within the adjacent authority of Cheshire East lies about 180 metres to the south of the site.   The site is located approximately 115 metres from Fiveways Shopping Parade. </w:t>
      </w:r>
    </w:p>
    <w:p w14:paraId="132BD790" w14:textId="56A42C01" w:rsidR="009B5EFF" w:rsidRDefault="00D22C5B" w:rsidP="005F7E62">
      <w:pPr>
        <w:pStyle w:val="Normal2"/>
        <w:numPr>
          <w:ilvl w:val="0"/>
          <w:numId w:val="3"/>
        </w:numPr>
        <w:ind w:left="567" w:hanging="567"/>
        <w:rPr>
          <w:szCs w:val="24"/>
        </w:rPr>
      </w:pPr>
      <w:r w:rsidRPr="00353891">
        <w:rPr>
          <w:szCs w:val="24"/>
        </w:rPr>
        <w:t xml:space="preserve">The </w:t>
      </w:r>
      <w:r w:rsidR="005E0BC1" w:rsidRPr="00353891">
        <w:rPr>
          <w:szCs w:val="24"/>
        </w:rPr>
        <w:t>c</w:t>
      </w:r>
      <w:r w:rsidRPr="00353891">
        <w:rPr>
          <w:szCs w:val="24"/>
        </w:rPr>
        <w:t xml:space="preserve">ar </w:t>
      </w:r>
      <w:r w:rsidR="005E0BC1" w:rsidRPr="00353891">
        <w:rPr>
          <w:szCs w:val="24"/>
        </w:rPr>
        <w:t>p</w:t>
      </w:r>
      <w:r w:rsidRPr="00353891">
        <w:rPr>
          <w:szCs w:val="24"/>
        </w:rPr>
        <w:t xml:space="preserve">ark </w:t>
      </w:r>
      <w:r w:rsidR="005E0BC1" w:rsidRPr="00353891">
        <w:rPr>
          <w:szCs w:val="24"/>
        </w:rPr>
        <w:t>l</w:t>
      </w:r>
      <w:r w:rsidRPr="00353891">
        <w:rPr>
          <w:szCs w:val="24"/>
        </w:rPr>
        <w:t xml:space="preserve">and was </w:t>
      </w:r>
      <w:r w:rsidR="005B5F8E" w:rsidRPr="00353891">
        <w:rPr>
          <w:szCs w:val="24"/>
        </w:rPr>
        <w:t>u</w:t>
      </w:r>
      <w:r w:rsidRPr="00353891">
        <w:rPr>
          <w:szCs w:val="24"/>
        </w:rPr>
        <w:t xml:space="preserve">sed by the adjoining Brookside </w:t>
      </w:r>
      <w:r w:rsidR="008C42F0" w:rsidRPr="00353891">
        <w:rPr>
          <w:szCs w:val="24"/>
        </w:rPr>
        <w:t>G</w:t>
      </w:r>
      <w:r w:rsidRPr="00353891">
        <w:rPr>
          <w:szCs w:val="24"/>
        </w:rPr>
        <w:t xml:space="preserve">arden </w:t>
      </w:r>
      <w:r w:rsidR="008C42F0" w:rsidRPr="00353891">
        <w:rPr>
          <w:szCs w:val="24"/>
        </w:rPr>
        <w:t>C</w:t>
      </w:r>
      <w:r w:rsidRPr="00353891">
        <w:rPr>
          <w:szCs w:val="24"/>
        </w:rPr>
        <w:t>entre</w:t>
      </w:r>
      <w:r w:rsidR="005B5F8E" w:rsidRPr="00353891">
        <w:rPr>
          <w:szCs w:val="24"/>
        </w:rPr>
        <w:t xml:space="preserve"> for the parking of customers</w:t>
      </w:r>
      <w:r w:rsidR="002B582B">
        <w:rPr>
          <w:szCs w:val="24"/>
        </w:rPr>
        <w:t>’</w:t>
      </w:r>
      <w:r w:rsidR="005B5F8E" w:rsidRPr="00353891">
        <w:rPr>
          <w:szCs w:val="24"/>
        </w:rPr>
        <w:t xml:space="preserve"> cars</w:t>
      </w:r>
      <w:r w:rsidR="00C313D4" w:rsidRPr="00353891">
        <w:rPr>
          <w:szCs w:val="24"/>
        </w:rPr>
        <w:t xml:space="preserve"> and for the storage of palletised </w:t>
      </w:r>
      <w:r w:rsidR="00957811" w:rsidRPr="00353891">
        <w:rPr>
          <w:szCs w:val="24"/>
        </w:rPr>
        <w:t>goods such as bags of compost</w:t>
      </w:r>
      <w:r w:rsidR="005B5F8E" w:rsidRPr="00353891">
        <w:rPr>
          <w:szCs w:val="24"/>
        </w:rPr>
        <w:t xml:space="preserve">.   </w:t>
      </w:r>
      <w:r w:rsidR="005F7BB6" w:rsidRPr="00353891">
        <w:rPr>
          <w:szCs w:val="24"/>
        </w:rPr>
        <w:t>Broadly rectang</w:t>
      </w:r>
      <w:r w:rsidR="003B5B33" w:rsidRPr="00353891">
        <w:rPr>
          <w:szCs w:val="24"/>
        </w:rPr>
        <w:t>ular in shape it ha</w:t>
      </w:r>
      <w:r w:rsidR="00957811" w:rsidRPr="00353891">
        <w:rPr>
          <w:szCs w:val="24"/>
        </w:rPr>
        <w:t>d</w:t>
      </w:r>
      <w:r w:rsidR="003B5B33" w:rsidRPr="00353891">
        <w:rPr>
          <w:szCs w:val="24"/>
        </w:rPr>
        <w:t xml:space="preserve"> a partial tarmac surface </w:t>
      </w:r>
      <w:r w:rsidR="00FA7BDD" w:rsidRPr="00353891">
        <w:rPr>
          <w:szCs w:val="24"/>
        </w:rPr>
        <w:t xml:space="preserve">but the parking areas themselves </w:t>
      </w:r>
      <w:r w:rsidR="009966FA">
        <w:rPr>
          <w:szCs w:val="24"/>
        </w:rPr>
        <w:t xml:space="preserve">were </w:t>
      </w:r>
      <w:r w:rsidR="00325869" w:rsidRPr="00353891">
        <w:rPr>
          <w:szCs w:val="24"/>
        </w:rPr>
        <w:t>of crushed stone</w:t>
      </w:r>
      <w:r w:rsidR="00133ED6">
        <w:rPr>
          <w:szCs w:val="24"/>
        </w:rPr>
        <w:t xml:space="preserve">, so </w:t>
      </w:r>
      <w:r w:rsidR="00542E6A" w:rsidRPr="00353891">
        <w:rPr>
          <w:szCs w:val="24"/>
        </w:rPr>
        <w:t xml:space="preserve">none of the spaces </w:t>
      </w:r>
      <w:r w:rsidR="00133ED6">
        <w:rPr>
          <w:szCs w:val="24"/>
        </w:rPr>
        <w:t>we</w:t>
      </w:r>
      <w:r w:rsidR="00542E6A" w:rsidRPr="00353891">
        <w:rPr>
          <w:szCs w:val="24"/>
        </w:rPr>
        <w:t xml:space="preserve">re marked.   The </w:t>
      </w:r>
      <w:r w:rsidR="009C75D4" w:rsidRPr="00353891">
        <w:rPr>
          <w:szCs w:val="24"/>
        </w:rPr>
        <w:t xml:space="preserve">western boundary on to Macclesfield Road </w:t>
      </w:r>
      <w:r w:rsidR="0009669E" w:rsidRPr="00353891">
        <w:rPr>
          <w:szCs w:val="24"/>
        </w:rPr>
        <w:t>was</w:t>
      </w:r>
      <w:r w:rsidR="00CA1EF4" w:rsidRPr="00353891">
        <w:rPr>
          <w:szCs w:val="24"/>
        </w:rPr>
        <w:t xml:space="preserve"> originally </w:t>
      </w:r>
      <w:r w:rsidR="0009669E" w:rsidRPr="00353891">
        <w:rPr>
          <w:szCs w:val="24"/>
        </w:rPr>
        <w:t>a</w:t>
      </w:r>
      <w:r w:rsidR="00E170A5" w:rsidRPr="00353891">
        <w:rPr>
          <w:szCs w:val="24"/>
        </w:rPr>
        <w:t xml:space="preserve"> combination of a </w:t>
      </w:r>
      <w:r w:rsidR="0009669E" w:rsidRPr="00353891">
        <w:rPr>
          <w:szCs w:val="24"/>
        </w:rPr>
        <w:t xml:space="preserve">beech hedge </w:t>
      </w:r>
      <w:r w:rsidR="00E170A5" w:rsidRPr="00353891">
        <w:rPr>
          <w:szCs w:val="24"/>
        </w:rPr>
        <w:t xml:space="preserve">and a wooden picket </w:t>
      </w:r>
      <w:r w:rsidR="00B6729B" w:rsidRPr="00353891">
        <w:rPr>
          <w:szCs w:val="24"/>
        </w:rPr>
        <w:t xml:space="preserve">fence.  It contained a wide gateway which </w:t>
      </w:r>
      <w:r w:rsidR="00C313D4" w:rsidRPr="00353891">
        <w:rPr>
          <w:szCs w:val="24"/>
        </w:rPr>
        <w:t xml:space="preserve">could be closed off with a </w:t>
      </w:r>
      <w:r w:rsidR="005A1618" w:rsidRPr="00353891">
        <w:rPr>
          <w:szCs w:val="24"/>
        </w:rPr>
        <w:t>pair of gates which ha</w:t>
      </w:r>
      <w:r w:rsidR="00EC5052" w:rsidRPr="00353891">
        <w:rPr>
          <w:szCs w:val="24"/>
        </w:rPr>
        <w:t>d</w:t>
      </w:r>
      <w:r w:rsidR="005A1618" w:rsidRPr="00353891">
        <w:rPr>
          <w:szCs w:val="24"/>
        </w:rPr>
        <w:t xml:space="preserve"> previously been used on a railway level crossing.  The northern boun</w:t>
      </w:r>
      <w:r w:rsidR="00A63A9C" w:rsidRPr="00353891">
        <w:rPr>
          <w:szCs w:val="24"/>
        </w:rPr>
        <w:t xml:space="preserve">dary was a row of tall </w:t>
      </w:r>
      <w:r w:rsidR="00444CFE" w:rsidRPr="00353891">
        <w:rPr>
          <w:szCs w:val="24"/>
        </w:rPr>
        <w:t>conifers,</w:t>
      </w:r>
      <w:r w:rsidR="00A63A9C" w:rsidRPr="00353891">
        <w:rPr>
          <w:szCs w:val="24"/>
        </w:rPr>
        <w:t xml:space="preserve"> and the garden centre formed </w:t>
      </w:r>
      <w:r w:rsidR="001839EE" w:rsidRPr="00353891">
        <w:rPr>
          <w:szCs w:val="24"/>
        </w:rPr>
        <w:t xml:space="preserve">the southern boundary.  The eastern end of the site </w:t>
      </w:r>
      <w:r w:rsidR="00892450" w:rsidRPr="00353891">
        <w:rPr>
          <w:szCs w:val="24"/>
        </w:rPr>
        <w:t xml:space="preserve">contained an area accessed </w:t>
      </w:r>
      <w:r w:rsidR="009D168E" w:rsidRPr="00353891">
        <w:rPr>
          <w:szCs w:val="24"/>
        </w:rPr>
        <w:t>by a</w:t>
      </w:r>
      <w:r w:rsidR="00444CFE" w:rsidRPr="00353891">
        <w:rPr>
          <w:szCs w:val="24"/>
        </w:rPr>
        <w:t xml:space="preserve"> ramp and which could </w:t>
      </w:r>
      <w:r w:rsidR="003F0603" w:rsidRPr="00353891">
        <w:rPr>
          <w:szCs w:val="24"/>
        </w:rPr>
        <w:t>be used for additional car parking</w:t>
      </w:r>
      <w:r w:rsidR="00EC5052" w:rsidRPr="00353891">
        <w:rPr>
          <w:szCs w:val="24"/>
        </w:rPr>
        <w:t xml:space="preserve"> but at the time of my visit </w:t>
      </w:r>
      <w:r w:rsidR="00133ED6">
        <w:rPr>
          <w:szCs w:val="24"/>
        </w:rPr>
        <w:t xml:space="preserve">it </w:t>
      </w:r>
      <w:r w:rsidR="00353891" w:rsidRPr="00353891">
        <w:rPr>
          <w:szCs w:val="24"/>
        </w:rPr>
        <w:t>was being used as a site for fairground rides which were operational at various times of the year.</w:t>
      </w:r>
      <w:r w:rsidR="00597849">
        <w:rPr>
          <w:szCs w:val="24"/>
        </w:rPr>
        <w:t xml:space="preserve">  Following the completion of the </w:t>
      </w:r>
      <w:r w:rsidR="00523718">
        <w:rPr>
          <w:szCs w:val="24"/>
        </w:rPr>
        <w:t>scheme access to the</w:t>
      </w:r>
      <w:r w:rsidR="00133ED6">
        <w:rPr>
          <w:szCs w:val="24"/>
        </w:rPr>
        <w:t xml:space="preserve"> remaining</w:t>
      </w:r>
      <w:r w:rsidR="00523718">
        <w:rPr>
          <w:szCs w:val="24"/>
        </w:rPr>
        <w:t xml:space="preserve"> car park is by means of a two-way road </w:t>
      </w:r>
      <w:r w:rsidR="00C253E9">
        <w:rPr>
          <w:szCs w:val="24"/>
        </w:rPr>
        <w:t xml:space="preserve">and bridge which </w:t>
      </w:r>
      <w:r w:rsidR="00E10F72">
        <w:rPr>
          <w:szCs w:val="24"/>
        </w:rPr>
        <w:t>forms part of the garden centre.</w:t>
      </w:r>
    </w:p>
    <w:p w14:paraId="333201F0" w14:textId="77777777" w:rsidR="005060A7" w:rsidRDefault="005060A7" w:rsidP="005060A7">
      <w:pPr>
        <w:pStyle w:val="Normal2"/>
        <w:ind w:left="567"/>
        <w:rPr>
          <w:szCs w:val="24"/>
        </w:rPr>
      </w:pPr>
    </w:p>
    <w:p w14:paraId="1DE87139" w14:textId="19FE7AB3" w:rsidR="005060A7" w:rsidRDefault="009B5EFF" w:rsidP="004D760D">
      <w:pPr>
        <w:pStyle w:val="Normal2"/>
        <w:numPr>
          <w:ilvl w:val="0"/>
          <w:numId w:val="3"/>
        </w:numPr>
        <w:ind w:left="567" w:hanging="567"/>
        <w:rPr>
          <w:szCs w:val="24"/>
        </w:rPr>
      </w:pPr>
      <w:r w:rsidRPr="00ED0CC3">
        <w:rPr>
          <w:szCs w:val="24"/>
        </w:rPr>
        <w:t>The</w:t>
      </w:r>
      <w:r w:rsidR="005F7E62" w:rsidRPr="00ED0CC3">
        <w:rPr>
          <w:szCs w:val="24"/>
        </w:rPr>
        <w:t xml:space="preserve"> car park land is leased </w:t>
      </w:r>
      <w:r w:rsidR="00133ED6" w:rsidRPr="00ED0CC3">
        <w:rPr>
          <w:szCs w:val="24"/>
        </w:rPr>
        <w:t xml:space="preserve">by </w:t>
      </w:r>
      <w:r w:rsidR="0057480B" w:rsidRPr="00ED0CC3">
        <w:rPr>
          <w:szCs w:val="24"/>
        </w:rPr>
        <w:t>the claimants to</w:t>
      </w:r>
      <w:r w:rsidR="005F7E62" w:rsidRPr="00ED0CC3">
        <w:rPr>
          <w:szCs w:val="24"/>
        </w:rPr>
        <w:t xml:space="preserve"> </w:t>
      </w:r>
      <w:proofErr w:type="spellStart"/>
      <w:r w:rsidR="005F7E62" w:rsidRPr="00ED0CC3">
        <w:rPr>
          <w:szCs w:val="24"/>
        </w:rPr>
        <w:t>Klondyke</w:t>
      </w:r>
      <w:proofErr w:type="spellEnd"/>
      <w:r w:rsidR="005F7E62" w:rsidRPr="00ED0CC3">
        <w:rPr>
          <w:szCs w:val="24"/>
        </w:rPr>
        <w:t xml:space="preserve"> Properties Limited for a term of 33 years effective from 1 July 2000 </w:t>
      </w:r>
      <w:r w:rsidR="00133ED6" w:rsidRPr="00ED0CC3">
        <w:rPr>
          <w:szCs w:val="24"/>
        </w:rPr>
        <w:t>a</w:t>
      </w:r>
      <w:r w:rsidR="005F7E62" w:rsidRPr="00ED0CC3">
        <w:rPr>
          <w:szCs w:val="24"/>
        </w:rPr>
        <w:t>t a rent of £46,000 per annum.   Under the terms of the lease rent reviews are due on every third anniversary of the lease commencement.  Accordingly, reviews were due in July 2015 and 2018 but were not implemented on account of the loss of spaces resulting from the scheme.  A further review was due on 1 July 2021</w:t>
      </w:r>
      <w:r w:rsidR="00133ED6" w:rsidRPr="00ED0CC3">
        <w:rPr>
          <w:szCs w:val="24"/>
        </w:rPr>
        <w:t>.  A</w:t>
      </w:r>
      <w:r w:rsidR="005F7E62" w:rsidRPr="00ED0CC3">
        <w:rPr>
          <w:szCs w:val="24"/>
        </w:rPr>
        <w:t xml:space="preserve"> notice proposing that the rent be increased from that date to £50,000 per annum has been served and the matter is still in negotiation.  </w:t>
      </w:r>
    </w:p>
    <w:p w14:paraId="52B5F247" w14:textId="77777777" w:rsidR="00ED0CC3" w:rsidRPr="00ED0CC3" w:rsidRDefault="00ED0CC3" w:rsidP="00ED0CC3">
      <w:pPr>
        <w:pStyle w:val="Normal2"/>
        <w:rPr>
          <w:szCs w:val="24"/>
        </w:rPr>
      </w:pPr>
    </w:p>
    <w:p w14:paraId="254F4956" w14:textId="7B116819" w:rsidR="00D74A07" w:rsidRDefault="005B5F8E" w:rsidP="00313B01">
      <w:pPr>
        <w:pStyle w:val="Normal2"/>
        <w:numPr>
          <w:ilvl w:val="0"/>
          <w:numId w:val="3"/>
        </w:numPr>
        <w:spacing w:after="360"/>
        <w:ind w:left="567" w:hanging="567"/>
        <w:rPr>
          <w:szCs w:val="24"/>
        </w:rPr>
      </w:pPr>
      <w:r w:rsidRPr="005B5F8E">
        <w:rPr>
          <w:szCs w:val="24"/>
        </w:rPr>
        <w:t xml:space="preserve">The mast site </w:t>
      </w:r>
      <w:r w:rsidR="00884C68">
        <w:rPr>
          <w:szCs w:val="24"/>
        </w:rPr>
        <w:t xml:space="preserve">adjacent to the eastern end of the car park </w:t>
      </w:r>
      <w:r w:rsidR="004D23D2">
        <w:rPr>
          <w:szCs w:val="24"/>
        </w:rPr>
        <w:t xml:space="preserve">land </w:t>
      </w:r>
      <w:r w:rsidR="009966FA">
        <w:rPr>
          <w:szCs w:val="24"/>
        </w:rPr>
        <w:t xml:space="preserve">is </w:t>
      </w:r>
      <w:r>
        <w:rPr>
          <w:szCs w:val="24"/>
        </w:rPr>
        <w:t>let</w:t>
      </w:r>
      <w:r w:rsidRPr="005B5F8E">
        <w:rPr>
          <w:szCs w:val="24"/>
        </w:rPr>
        <w:t xml:space="preserve"> to T-Mobile </w:t>
      </w:r>
      <w:r>
        <w:rPr>
          <w:szCs w:val="24"/>
        </w:rPr>
        <w:t>by means of an</w:t>
      </w:r>
      <w:r w:rsidRPr="005B5F8E">
        <w:rPr>
          <w:szCs w:val="24"/>
        </w:rPr>
        <w:t xml:space="preserve"> agreement dated 23 November 2007.</w:t>
      </w:r>
      <w:r w:rsidR="00124B01">
        <w:rPr>
          <w:szCs w:val="24"/>
        </w:rPr>
        <w:t xml:space="preserve">  This site was </w:t>
      </w:r>
      <w:r w:rsidR="00B04B8F">
        <w:rPr>
          <w:szCs w:val="24"/>
        </w:rPr>
        <w:t xml:space="preserve">not acquired but </w:t>
      </w:r>
      <w:r w:rsidR="00F7280C">
        <w:rPr>
          <w:szCs w:val="24"/>
        </w:rPr>
        <w:t xml:space="preserve">is the subject of a claim for injurious affection. </w:t>
      </w:r>
    </w:p>
    <w:p w14:paraId="28EE63ED" w14:textId="4A602494" w:rsidR="00081F15" w:rsidRDefault="000C203C" w:rsidP="000E3025">
      <w:pPr>
        <w:pStyle w:val="Normal2"/>
        <w:spacing w:after="360"/>
        <w:rPr>
          <w:rStyle w:val="markedcontent"/>
          <w:b/>
          <w:bCs/>
          <w:szCs w:val="24"/>
        </w:rPr>
      </w:pPr>
      <w:r w:rsidRPr="00005C64">
        <w:rPr>
          <w:rStyle w:val="markedcontent"/>
          <w:b/>
          <w:bCs/>
          <w:szCs w:val="24"/>
        </w:rPr>
        <w:t>Statutory provisions for assessment of compensation</w:t>
      </w:r>
    </w:p>
    <w:p w14:paraId="587545D2" w14:textId="50990573" w:rsidR="00D1316D" w:rsidRPr="00812445" w:rsidRDefault="007775C0" w:rsidP="003D4392">
      <w:pPr>
        <w:pStyle w:val="Normal2"/>
        <w:numPr>
          <w:ilvl w:val="0"/>
          <w:numId w:val="3"/>
        </w:numPr>
        <w:spacing w:after="360"/>
        <w:ind w:left="567" w:hanging="567"/>
        <w:rPr>
          <w:szCs w:val="24"/>
        </w:rPr>
      </w:pPr>
      <w:r w:rsidRPr="00812445">
        <w:rPr>
          <w:szCs w:val="24"/>
        </w:rPr>
        <w:t xml:space="preserve">Section 5 of the Land Compensation Act 1961 (“the 1961 Act”) sets out the rules for </w:t>
      </w:r>
      <w:r w:rsidRPr="00812445">
        <w:rPr>
          <w:szCs w:val="24"/>
        </w:rPr>
        <w:br/>
        <w:t>assessing compensation</w:t>
      </w:r>
      <w:r w:rsidR="00BD46FF">
        <w:rPr>
          <w:szCs w:val="24"/>
        </w:rPr>
        <w:t xml:space="preserve"> for land taken</w:t>
      </w:r>
      <w:r w:rsidRPr="00812445">
        <w:rPr>
          <w:szCs w:val="24"/>
        </w:rPr>
        <w:t>, of which the relevant rules at the valuation date were:</w:t>
      </w:r>
    </w:p>
    <w:p w14:paraId="1C8DC5DD" w14:textId="51B1CA78" w:rsidR="00CA0516" w:rsidRPr="00CA0516" w:rsidRDefault="007775C0" w:rsidP="00133ED6">
      <w:pPr>
        <w:pStyle w:val="Normal2"/>
        <w:spacing w:after="360"/>
        <w:ind w:left="567"/>
        <w:rPr>
          <w:szCs w:val="24"/>
        </w:rPr>
      </w:pPr>
      <w:r w:rsidRPr="00812445">
        <w:rPr>
          <w:szCs w:val="24"/>
        </w:rPr>
        <w:t xml:space="preserve"> </w:t>
      </w:r>
      <w:r w:rsidR="00FB5346">
        <w:rPr>
          <w:szCs w:val="24"/>
        </w:rPr>
        <w:tab/>
      </w:r>
      <w:r w:rsidR="00FB5346">
        <w:rPr>
          <w:szCs w:val="24"/>
        </w:rPr>
        <w:tab/>
      </w:r>
      <w:r w:rsidRPr="00812445">
        <w:rPr>
          <w:szCs w:val="24"/>
        </w:rPr>
        <w:t xml:space="preserve">(1) No allowance shall be made on account of the acquisition being </w:t>
      </w:r>
      <w:r w:rsidRPr="00812445">
        <w:rPr>
          <w:szCs w:val="24"/>
        </w:rPr>
        <w:br/>
      </w:r>
      <w:r w:rsidR="00781E35">
        <w:rPr>
          <w:szCs w:val="24"/>
        </w:rPr>
        <w:t xml:space="preserve"> </w:t>
      </w:r>
      <w:r w:rsidR="00FB5346">
        <w:rPr>
          <w:szCs w:val="24"/>
        </w:rPr>
        <w:tab/>
      </w:r>
      <w:r w:rsidR="00FB5346">
        <w:rPr>
          <w:szCs w:val="24"/>
        </w:rPr>
        <w:tab/>
      </w:r>
      <w:r w:rsidRPr="00812445">
        <w:rPr>
          <w:szCs w:val="24"/>
        </w:rPr>
        <w:t>compulsory</w:t>
      </w:r>
      <w:r w:rsidR="009966FA">
        <w:rPr>
          <w:szCs w:val="24"/>
        </w:rPr>
        <w:t>;</w:t>
      </w:r>
      <w:r w:rsidRPr="00812445">
        <w:rPr>
          <w:szCs w:val="24"/>
        </w:rPr>
        <w:br/>
      </w:r>
      <w:r w:rsidR="00781E35">
        <w:rPr>
          <w:szCs w:val="24"/>
        </w:rPr>
        <w:t xml:space="preserve"> </w:t>
      </w:r>
      <w:r w:rsidR="00FB5346">
        <w:rPr>
          <w:szCs w:val="24"/>
        </w:rPr>
        <w:tab/>
      </w:r>
      <w:r w:rsidR="00FB5346">
        <w:rPr>
          <w:szCs w:val="24"/>
        </w:rPr>
        <w:tab/>
      </w:r>
      <w:r w:rsidRPr="00812445">
        <w:rPr>
          <w:szCs w:val="24"/>
        </w:rPr>
        <w:t xml:space="preserve">(2) The value of land shall, subject as hereinafter provided, be taken to be the </w:t>
      </w:r>
      <w:r w:rsidRPr="00812445">
        <w:rPr>
          <w:szCs w:val="24"/>
        </w:rPr>
        <w:br/>
      </w:r>
      <w:r w:rsidR="00781E35">
        <w:rPr>
          <w:szCs w:val="24"/>
        </w:rPr>
        <w:t xml:space="preserve"> </w:t>
      </w:r>
      <w:r w:rsidR="00FB5346">
        <w:rPr>
          <w:szCs w:val="24"/>
        </w:rPr>
        <w:tab/>
      </w:r>
      <w:r w:rsidR="00FB5346">
        <w:rPr>
          <w:szCs w:val="24"/>
        </w:rPr>
        <w:tab/>
      </w:r>
      <w:r w:rsidRPr="00812445">
        <w:rPr>
          <w:szCs w:val="24"/>
        </w:rPr>
        <w:t xml:space="preserve">amount which the land if sold in the open market by a willing seller might be </w:t>
      </w:r>
      <w:r w:rsidRPr="00812445">
        <w:rPr>
          <w:szCs w:val="24"/>
        </w:rPr>
        <w:br/>
      </w:r>
      <w:r w:rsidR="00781E35">
        <w:rPr>
          <w:szCs w:val="24"/>
        </w:rPr>
        <w:t xml:space="preserve"> </w:t>
      </w:r>
      <w:r w:rsidR="00FB5346">
        <w:rPr>
          <w:szCs w:val="24"/>
        </w:rPr>
        <w:tab/>
      </w:r>
      <w:r w:rsidR="00FB5346">
        <w:rPr>
          <w:szCs w:val="24"/>
        </w:rPr>
        <w:tab/>
      </w:r>
      <w:r w:rsidRPr="00812445">
        <w:rPr>
          <w:szCs w:val="24"/>
        </w:rPr>
        <w:t>expected to realise</w:t>
      </w:r>
      <w:r w:rsidR="009966FA">
        <w:rPr>
          <w:szCs w:val="24"/>
        </w:rPr>
        <w:t>;</w:t>
      </w:r>
    </w:p>
    <w:p w14:paraId="5D69ACE6" w14:textId="407E468D" w:rsidR="00CA0516" w:rsidRDefault="00CA0516" w:rsidP="00313B01">
      <w:pPr>
        <w:pStyle w:val="Normal2"/>
        <w:numPr>
          <w:ilvl w:val="0"/>
          <w:numId w:val="3"/>
        </w:numPr>
        <w:spacing w:after="360"/>
        <w:ind w:left="567" w:hanging="567"/>
        <w:rPr>
          <w:szCs w:val="24"/>
        </w:rPr>
      </w:pPr>
      <w:r w:rsidRPr="00376B8A">
        <w:rPr>
          <w:szCs w:val="24"/>
        </w:rPr>
        <w:lastRenderedPageBreak/>
        <w:t xml:space="preserve">Section 14(2) and (5) of the </w:t>
      </w:r>
      <w:r w:rsidR="0023121D">
        <w:rPr>
          <w:szCs w:val="24"/>
        </w:rPr>
        <w:t>1</w:t>
      </w:r>
      <w:r w:rsidR="00D53DF2">
        <w:rPr>
          <w:szCs w:val="24"/>
        </w:rPr>
        <w:t>961</w:t>
      </w:r>
      <w:r w:rsidR="0023121D">
        <w:rPr>
          <w:szCs w:val="24"/>
        </w:rPr>
        <w:t xml:space="preserve"> Act</w:t>
      </w:r>
      <w:r w:rsidR="00D53DF2">
        <w:rPr>
          <w:szCs w:val="24"/>
        </w:rPr>
        <w:t xml:space="preserve"> </w:t>
      </w:r>
      <w:r w:rsidR="00EE7A9C" w:rsidRPr="00376B8A">
        <w:rPr>
          <w:szCs w:val="24"/>
        </w:rPr>
        <w:t>are relevant to the consideration</w:t>
      </w:r>
      <w:r w:rsidR="00133ED6">
        <w:rPr>
          <w:szCs w:val="24"/>
        </w:rPr>
        <w:t xml:space="preserve"> of</w:t>
      </w:r>
      <w:r w:rsidR="00EE7A9C" w:rsidRPr="00376B8A">
        <w:rPr>
          <w:szCs w:val="24"/>
        </w:rPr>
        <w:t xml:space="preserve"> </w:t>
      </w:r>
      <w:r w:rsidR="0023121D">
        <w:rPr>
          <w:szCs w:val="24"/>
        </w:rPr>
        <w:t xml:space="preserve">the value of land for development, including for development for which planning permission already exists or </w:t>
      </w:r>
      <w:r w:rsidR="00B96DB4" w:rsidRPr="00376B8A">
        <w:rPr>
          <w:szCs w:val="24"/>
        </w:rPr>
        <w:t>‘hope value’</w:t>
      </w:r>
      <w:r w:rsidR="0023121D">
        <w:rPr>
          <w:szCs w:val="24"/>
        </w:rPr>
        <w:t xml:space="preserve"> for development for which no permission has yet been obtained</w:t>
      </w:r>
      <w:r w:rsidR="00A850FF" w:rsidRPr="00376B8A">
        <w:rPr>
          <w:szCs w:val="24"/>
        </w:rPr>
        <w:t>.  Specifically</w:t>
      </w:r>
      <w:r w:rsidR="00376B8A" w:rsidRPr="00376B8A">
        <w:rPr>
          <w:szCs w:val="24"/>
        </w:rPr>
        <w:t>,</w:t>
      </w:r>
      <w:r w:rsidR="00A850FF" w:rsidRPr="00376B8A">
        <w:rPr>
          <w:szCs w:val="24"/>
        </w:rPr>
        <w:t xml:space="preserve"> </w:t>
      </w:r>
      <w:r w:rsidR="00ED0345" w:rsidRPr="00376B8A">
        <w:rPr>
          <w:szCs w:val="24"/>
        </w:rPr>
        <w:t>in assessing the value of land</w:t>
      </w:r>
      <w:r w:rsidR="00133ED6">
        <w:rPr>
          <w:szCs w:val="24"/>
        </w:rPr>
        <w:t xml:space="preserve"> under rule 2</w:t>
      </w:r>
      <w:r w:rsidRPr="00376B8A">
        <w:rPr>
          <w:szCs w:val="24"/>
        </w:rPr>
        <w:t>:</w:t>
      </w:r>
    </w:p>
    <w:p w14:paraId="56998731" w14:textId="16BE5089" w:rsidR="005411B7" w:rsidRDefault="005411B7" w:rsidP="005411B7">
      <w:pPr>
        <w:ind w:left="709" w:firstLine="709"/>
        <w:rPr>
          <w:spacing w:val="0"/>
          <w:szCs w:val="24"/>
          <w:lang w:eastAsia="en-GB"/>
        </w:rPr>
      </w:pPr>
      <w:r w:rsidRPr="005411B7">
        <w:rPr>
          <w:spacing w:val="0"/>
          <w:szCs w:val="24"/>
          <w:lang w:eastAsia="en-GB"/>
        </w:rPr>
        <w:t>(2)  In consequence of that rule, account may be taken—</w:t>
      </w:r>
    </w:p>
    <w:p w14:paraId="1E245E81" w14:textId="77777777" w:rsidR="005411B7" w:rsidRPr="005411B7" w:rsidRDefault="005411B7" w:rsidP="005411B7">
      <w:pPr>
        <w:ind w:left="709" w:firstLine="709"/>
        <w:rPr>
          <w:spacing w:val="0"/>
          <w:szCs w:val="24"/>
          <w:lang w:eastAsia="en-GB"/>
        </w:rPr>
      </w:pPr>
    </w:p>
    <w:p w14:paraId="5AE43CA3" w14:textId="10357018" w:rsidR="005411B7" w:rsidRPr="005411B7" w:rsidRDefault="005411B7" w:rsidP="00E62C2A">
      <w:pPr>
        <w:pStyle w:val="ListParagraph"/>
        <w:numPr>
          <w:ilvl w:val="0"/>
          <w:numId w:val="4"/>
        </w:numPr>
        <w:ind w:left="1809" w:firstLine="0"/>
        <w:rPr>
          <w:spacing w:val="0"/>
          <w:szCs w:val="24"/>
          <w:lang w:eastAsia="en-GB"/>
        </w:rPr>
      </w:pPr>
      <w:r w:rsidRPr="005411B7">
        <w:rPr>
          <w:spacing w:val="0"/>
          <w:szCs w:val="24"/>
          <w:lang w:eastAsia="en-GB"/>
        </w:rPr>
        <w:t>of planning permission, whether for development on the relevant land or other land, if it is in force at the relevant valuation date, and</w:t>
      </w:r>
    </w:p>
    <w:p w14:paraId="5F92723D" w14:textId="77777777" w:rsidR="005411B7" w:rsidRPr="005411B7" w:rsidRDefault="005411B7" w:rsidP="005411B7">
      <w:pPr>
        <w:pStyle w:val="ListParagraph"/>
        <w:ind w:left="1808"/>
        <w:rPr>
          <w:spacing w:val="0"/>
          <w:szCs w:val="24"/>
          <w:lang w:eastAsia="en-GB"/>
        </w:rPr>
      </w:pPr>
    </w:p>
    <w:p w14:paraId="00F73141" w14:textId="662404B1" w:rsidR="005411B7" w:rsidRDefault="005411B7" w:rsidP="00E62C2A">
      <w:pPr>
        <w:ind w:left="1808"/>
        <w:rPr>
          <w:spacing w:val="0"/>
          <w:szCs w:val="24"/>
          <w:lang w:eastAsia="en-GB"/>
        </w:rPr>
      </w:pPr>
      <w:r w:rsidRPr="005411B7">
        <w:rPr>
          <w:spacing w:val="0"/>
          <w:szCs w:val="24"/>
          <w:lang w:eastAsia="en-GB"/>
        </w:rPr>
        <w:t>(b)  of the prospect, on the assumptions set out in subsection (5) but otherwise in the circumstances known to the market at the relevant valuation date, of planning permission being granted on or after that date for development, on the relevant land or other land, other than—</w:t>
      </w:r>
    </w:p>
    <w:p w14:paraId="0ED4DA10" w14:textId="77777777" w:rsidR="005411B7" w:rsidRPr="005411B7" w:rsidRDefault="005411B7" w:rsidP="005411B7">
      <w:pPr>
        <w:ind w:left="1418" w:firstLine="22"/>
        <w:rPr>
          <w:spacing w:val="0"/>
          <w:szCs w:val="24"/>
          <w:lang w:eastAsia="en-GB"/>
        </w:rPr>
      </w:pPr>
    </w:p>
    <w:p w14:paraId="26293DA4" w14:textId="77777777" w:rsidR="005411B7" w:rsidRPr="005411B7" w:rsidRDefault="005411B7" w:rsidP="005411B7">
      <w:pPr>
        <w:ind w:left="2160"/>
        <w:rPr>
          <w:spacing w:val="0"/>
          <w:szCs w:val="24"/>
          <w:lang w:eastAsia="en-GB"/>
        </w:rPr>
      </w:pPr>
      <w:r w:rsidRPr="005411B7">
        <w:rPr>
          <w:spacing w:val="0"/>
          <w:szCs w:val="24"/>
          <w:lang w:eastAsia="en-GB"/>
        </w:rPr>
        <w:t>(</w:t>
      </w:r>
      <w:proofErr w:type="spellStart"/>
      <w:r w:rsidRPr="005411B7">
        <w:rPr>
          <w:spacing w:val="0"/>
          <w:szCs w:val="24"/>
          <w:lang w:eastAsia="en-GB"/>
        </w:rPr>
        <w:t>i</w:t>
      </w:r>
      <w:proofErr w:type="spellEnd"/>
      <w:r w:rsidRPr="005411B7">
        <w:rPr>
          <w:spacing w:val="0"/>
          <w:szCs w:val="24"/>
          <w:lang w:eastAsia="en-GB"/>
        </w:rPr>
        <w:t>)  development for which planning permission is in force at the relevant valuation date, and</w:t>
      </w:r>
    </w:p>
    <w:p w14:paraId="2BEC2833" w14:textId="6E20F390" w:rsidR="008E62F5" w:rsidRDefault="005411B7" w:rsidP="00E62C2A">
      <w:pPr>
        <w:ind w:left="1440" w:firstLine="720"/>
        <w:rPr>
          <w:spacing w:val="0"/>
          <w:szCs w:val="24"/>
          <w:lang w:eastAsia="en-GB"/>
        </w:rPr>
      </w:pPr>
      <w:r w:rsidRPr="005411B7">
        <w:rPr>
          <w:spacing w:val="0"/>
          <w:szCs w:val="24"/>
          <w:lang w:eastAsia="en-GB"/>
        </w:rPr>
        <w:t>(ii)  appropriate alternative development.</w:t>
      </w:r>
    </w:p>
    <w:p w14:paraId="3A6300DD" w14:textId="60AD545B" w:rsidR="008E62F5" w:rsidRPr="005411B7" w:rsidRDefault="008E62F5" w:rsidP="009966FA">
      <w:pPr>
        <w:rPr>
          <w:spacing w:val="0"/>
          <w:szCs w:val="24"/>
          <w:lang w:eastAsia="en-GB"/>
        </w:rPr>
      </w:pPr>
      <w:r>
        <w:rPr>
          <w:spacing w:val="0"/>
          <w:szCs w:val="24"/>
          <w:lang w:eastAsia="en-GB"/>
        </w:rPr>
        <w:tab/>
      </w:r>
      <w:r>
        <w:rPr>
          <w:spacing w:val="0"/>
          <w:szCs w:val="24"/>
          <w:lang w:eastAsia="en-GB"/>
        </w:rPr>
        <w:tab/>
        <w:t>…</w:t>
      </w:r>
    </w:p>
    <w:p w14:paraId="02697969" w14:textId="77777777" w:rsidR="00C82BA3" w:rsidRPr="00C82BA3" w:rsidRDefault="00C82BA3" w:rsidP="0023121D">
      <w:pPr>
        <w:pStyle w:val="Normal2"/>
        <w:spacing w:after="360"/>
        <w:ind w:left="1287" w:firstLine="153"/>
        <w:rPr>
          <w:szCs w:val="24"/>
        </w:rPr>
      </w:pPr>
      <w:r w:rsidRPr="00C82BA3">
        <w:rPr>
          <w:szCs w:val="24"/>
        </w:rPr>
        <w:t>(5)  The assumptions referred to in subsections (2)(b) and (4)(b) are—</w:t>
      </w:r>
    </w:p>
    <w:p w14:paraId="236361A0" w14:textId="77777777" w:rsidR="00C82BA3" w:rsidRPr="00C82BA3" w:rsidRDefault="00C82BA3" w:rsidP="00E62C2A">
      <w:pPr>
        <w:pStyle w:val="Normal2"/>
        <w:spacing w:after="360"/>
        <w:ind w:left="2007"/>
        <w:rPr>
          <w:szCs w:val="24"/>
        </w:rPr>
      </w:pPr>
      <w:r w:rsidRPr="00C82BA3">
        <w:rPr>
          <w:szCs w:val="24"/>
        </w:rPr>
        <w:t>(a)  that the scheme of development underlying the acquisition had been cancelled on the launch date,</w:t>
      </w:r>
    </w:p>
    <w:p w14:paraId="36A4FE9C" w14:textId="77777777" w:rsidR="00C82BA3" w:rsidRPr="00C82BA3" w:rsidRDefault="00C82BA3" w:rsidP="00E62C2A">
      <w:pPr>
        <w:pStyle w:val="Normal2"/>
        <w:spacing w:after="360"/>
        <w:ind w:left="2007"/>
        <w:rPr>
          <w:szCs w:val="24"/>
        </w:rPr>
      </w:pPr>
      <w:r w:rsidRPr="00C82BA3">
        <w:rPr>
          <w:szCs w:val="24"/>
        </w:rPr>
        <w:t>(b)  that no action has been taken (including acquisition of any land, and any development or works) by the acquiring authority wholly or mainly for the purposes of the scheme,</w:t>
      </w:r>
    </w:p>
    <w:p w14:paraId="72C87C16" w14:textId="77777777" w:rsidR="00C82BA3" w:rsidRPr="00C82BA3" w:rsidRDefault="00C82BA3" w:rsidP="00E62C2A">
      <w:pPr>
        <w:pStyle w:val="Normal2"/>
        <w:spacing w:after="360"/>
        <w:ind w:left="2007"/>
        <w:rPr>
          <w:szCs w:val="24"/>
        </w:rPr>
      </w:pPr>
      <w:r w:rsidRPr="00C82BA3">
        <w:rPr>
          <w:szCs w:val="24"/>
        </w:rPr>
        <w:t>(c)  that there is no prospect of the same scheme, or any other project to meet the same or substantially the same need, being carried out in the exercise of a statutory function or by the exercise of compulsory purchase powers, and</w:t>
      </w:r>
    </w:p>
    <w:p w14:paraId="104D5AE5" w14:textId="77777777" w:rsidR="00C82BA3" w:rsidRPr="00C82BA3" w:rsidRDefault="00C82BA3" w:rsidP="00E62C2A">
      <w:pPr>
        <w:pStyle w:val="Normal2"/>
        <w:spacing w:after="360"/>
        <w:ind w:left="2007"/>
        <w:rPr>
          <w:szCs w:val="24"/>
        </w:rPr>
      </w:pPr>
      <w:r w:rsidRPr="00C82BA3">
        <w:rPr>
          <w:szCs w:val="24"/>
        </w:rPr>
        <w:t>(d)  if the scheme was for use of the relevant land for or in connection with the construction of a highway (“the scheme highway”), that no highway will be constructed to meet the same or substantially the same need as the scheme highway would have been constructed to meet.</w:t>
      </w:r>
    </w:p>
    <w:p w14:paraId="251EB78A" w14:textId="49483F0B" w:rsidR="00081F15" w:rsidRDefault="009F2A01" w:rsidP="00081F15">
      <w:pPr>
        <w:pStyle w:val="Normal2"/>
        <w:spacing w:after="360"/>
        <w:rPr>
          <w:b/>
          <w:bCs/>
          <w:szCs w:val="24"/>
        </w:rPr>
      </w:pPr>
      <w:r w:rsidRPr="009F2A01">
        <w:rPr>
          <w:b/>
          <w:bCs/>
          <w:szCs w:val="24"/>
        </w:rPr>
        <w:t>Summary of the dispute</w:t>
      </w:r>
    </w:p>
    <w:p w14:paraId="5297340B" w14:textId="36EDAA29" w:rsidR="00E7613F" w:rsidRDefault="000D6B27" w:rsidP="00987B1E">
      <w:pPr>
        <w:pStyle w:val="Normal2"/>
        <w:numPr>
          <w:ilvl w:val="0"/>
          <w:numId w:val="3"/>
        </w:numPr>
        <w:spacing w:after="360"/>
        <w:ind w:hanging="502"/>
        <w:jc w:val="left"/>
        <w:rPr>
          <w:szCs w:val="24"/>
        </w:rPr>
      </w:pPr>
      <w:r>
        <w:rPr>
          <w:szCs w:val="24"/>
        </w:rPr>
        <w:t>The claim comprise</w:t>
      </w:r>
      <w:r w:rsidR="00BA4C5F">
        <w:rPr>
          <w:szCs w:val="24"/>
        </w:rPr>
        <w:t>s</w:t>
      </w:r>
      <w:r>
        <w:rPr>
          <w:szCs w:val="24"/>
        </w:rPr>
        <w:t xml:space="preserve"> a number of components</w:t>
      </w:r>
      <w:r w:rsidR="00BA4C5F">
        <w:rPr>
          <w:szCs w:val="24"/>
        </w:rPr>
        <w:t xml:space="preserve"> </w:t>
      </w:r>
      <w:r w:rsidR="0023121D">
        <w:rPr>
          <w:szCs w:val="24"/>
        </w:rPr>
        <w:t xml:space="preserve">and the parties’ rival positions </w:t>
      </w:r>
      <w:r w:rsidR="00A31BD3">
        <w:rPr>
          <w:szCs w:val="24"/>
        </w:rPr>
        <w:t xml:space="preserve">are </w:t>
      </w:r>
      <w:r w:rsidR="00BA4C5F">
        <w:rPr>
          <w:szCs w:val="24"/>
        </w:rPr>
        <w:t>set out in the following table</w:t>
      </w:r>
      <w:r w:rsidR="00C35C82">
        <w:rPr>
          <w:szCs w:val="24"/>
        </w:rPr>
        <w:t>:</w:t>
      </w:r>
    </w:p>
    <w:p w14:paraId="56A5BE72" w14:textId="2F8811F4" w:rsidR="000122C6" w:rsidRDefault="000122C6" w:rsidP="000122C6">
      <w:pPr>
        <w:pStyle w:val="Normal2"/>
        <w:spacing w:after="360"/>
        <w:jc w:val="left"/>
        <w:rPr>
          <w:szCs w:val="24"/>
        </w:rPr>
      </w:pPr>
    </w:p>
    <w:p w14:paraId="12257EC2" w14:textId="77777777" w:rsidR="000122C6" w:rsidRDefault="000122C6" w:rsidP="000122C6">
      <w:pPr>
        <w:pStyle w:val="Normal2"/>
        <w:spacing w:after="360"/>
        <w:jc w:val="left"/>
        <w:rPr>
          <w:szCs w:val="24"/>
        </w:rPr>
      </w:pPr>
    </w:p>
    <w:tbl>
      <w:tblPr>
        <w:tblStyle w:val="TableGrid1"/>
        <w:tblW w:w="8363" w:type="dxa"/>
        <w:tblInd w:w="704" w:type="dxa"/>
        <w:tblLayout w:type="fixed"/>
        <w:tblLook w:val="04A0" w:firstRow="1" w:lastRow="0" w:firstColumn="1" w:lastColumn="0" w:noHBand="0" w:noVBand="1"/>
      </w:tblPr>
      <w:tblGrid>
        <w:gridCol w:w="5812"/>
        <w:gridCol w:w="1276"/>
        <w:gridCol w:w="1275"/>
      </w:tblGrid>
      <w:tr w:rsidR="007345A2" w:rsidRPr="00A80FE4" w14:paraId="1A284BAC"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297C873A" w14:textId="77777777" w:rsidR="00A80FE4" w:rsidRPr="00A80FE4" w:rsidRDefault="00A80FE4" w:rsidP="00A80FE4">
            <w:pPr>
              <w:rPr>
                <w:rFonts w:ascii="Times New Roman" w:hAnsi="Times New Roman"/>
                <w:b/>
                <w:bCs/>
                <w:spacing w:val="0"/>
                <w:szCs w:val="24"/>
              </w:rPr>
            </w:pPr>
            <w:r w:rsidRPr="00A80FE4">
              <w:rPr>
                <w:rFonts w:ascii="Times New Roman" w:hAnsi="Times New Roman"/>
                <w:b/>
                <w:bCs/>
                <w:spacing w:val="0"/>
                <w:szCs w:val="24"/>
              </w:rPr>
              <w:lastRenderedPageBreak/>
              <w:t>Head of Claim</w:t>
            </w:r>
          </w:p>
        </w:tc>
        <w:tc>
          <w:tcPr>
            <w:tcW w:w="1276" w:type="dxa"/>
            <w:tcBorders>
              <w:top w:val="single" w:sz="4" w:space="0" w:color="auto"/>
              <w:left w:val="single" w:sz="4" w:space="0" w:color="auto"/>
              <w:bottom w:val="single" w:sz="4" w:space="0" w:color="auto"/>
              <w:right w:val="single" w:sz="4" w:space="0" w:color="auto"/>
            </w:tcBorders>
            <w:hideMark/>
          </w:tcPr>
          <w:p w14:paraId="295C8B0C" w14:textId="77777777" w:rsidR="00A80FE4" w:rsidRPr="00A80FE4" w:rsidRDefault="00A80FE4" w:rsidP="00784711">
            <w:pPr>
              <w:rPr>
                <w:rFonts w:ascii="Times New Roman" w:hAnsi="Times New Roman"/>
                <w:b/>
                <w:bCs/>
                <w:spacing w:val="0"/>
                <w:szCs w:val="24"/>
              </w:rPr>
            </w:pPr>
            <w:r w:rsidRPr="00A80FE4">
              <w:rPr>
                <w:rFonts w:ascii="Times New Roman" w:hAnsi="Times New Roman"/>
                <w:b/>
                <w:bCs/>
                <w:spacing w:val="0"/>
                <w:szCs w:val="24"/>
              </w:rPr>
              <w:t>Claimants</w:t>
            </w:r>
          </w:p>
        </w:tc>
        <w:tc>
          <w:tcPr>
            <w:tcW w:w="1275" w:type="dxa"/>
            <w:tcBorders>
              <w:top w:val="single" w:sz="4" w:space="0" w:color="auto"/>
              <w:left w:val="single" w:sz="4" w:space="0" w:color="auto"/>
              <w:bottom w:val="single" w:sz="4" w:space="0" w:color="auto"/>
              <w:right w:val="single" w:sz="4" w:space="0" w:color="auto"/>
            </w:tcBorders>
            <w:hideMark/>
          </w:tcPr>
          <w:p w14:paraId="5E4F1011" w14:textId="77777777" w:rsidR="00A80FE4" w:rsidRPr="00A80FE4" w:rsidRDefault="00A80FE4" w:rsidP="00784711">
            <w:pPr>
              <w:rPr>
                <w:rFonts w:ascii="Times New Roman" w:hAnsi="Times New Roman"/>
                <w:b/>
                <w:bCs/>
                <w:spacing w:val="0"/>
                <w:szCs w:val="24"/>
              </w:rPr>
            </w:pPr>
            <w:r w:rsidRPr="00A80FE4">
              <w:rPr>
                <w:rFonts w:ascii="Times New Roman" w:hAnsi="Times New Roman"/>
                <w:b/>
                <w:bCs/>
                <w:spacing w:val="0"/>
                <w:szCs w:val="24"/>
              </w:rPr>
              <w:t>Acquiring Authority</w:t>
            </w:r>
          </w:p>
        </w:tc>
      </w:tr>
      <w:tr w:rsidR="007345A2" w:rsidRPr="00A80FE4" w14:paraId="46F725AE"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16EBC3C1" w14:textId="77777777" w:rsidR="00A80FE4" w:rsidRPr="00A80FE4" w:rsidRDefault="00A80FE4" w:rsidP="00A80FE4">
            <w:pPr>
              <w:rPr>
                <w:rFonts w:ascii="Times New Roman" w:hAnsi="Times New Roman"/>
                <w:i/>
                <w:iCs/>
                <w:spacing w:val="0"/>
                <w:szCs w:val="24"/>
              </w:rPr>
            </w:pPr>
            <w:r w:rsidRPr="00A80FE4">
              <w:rPr>
                <w:rFonts w:ascii="Times New Roman" w:hAnsi="Times New Roman"/>
                <w:i/>
                <w:iCs/>
                <w:spacing w:val="0"/>
                <w:szCs w:val="24"/>
              </w:rPr>
              <w:t>Grazing Land</w:t>
            </w:r>
          </w:p>
        </w:tc>
        <w:tc>
          <w:tcPr>
            <w:tcW w:w="1276" w:type="dxa"/>
            <w:tcBorders>
              <w:top w:val="single" w:sz="4" w:space="0" w:color="auto"/>
              <w:left w:val="single" w:sz="4" w:space="0" w:color="auto"/>
              <w:bottom w:val="single" w:sz="4" w:space="0" w:color="auto"/>
              <w:right w:val="single" w:sz="4" w:space="0" w:color="auto"/>
            </w:tcBorders>
          </w:tcPr>
          <w:p w14:paraId="6DC1746A" w14:textId="77777777" w:rsidR="00A80FE4" w:rsidRPr="00A80FE4" w:rsidRDefault="00A80FE4" w:rsidP="00A80FE4">
            <w:pPr>
              <w:rPr>
                <w:rFonts w:ascii="Times New Roman" w:hAnsi="Times New Roman"/>
                <w:spacing w:val="0"/>
                <w:szCs w:val="24"/>
              </w:rPr>
            </w:pPr>
          </w:p>
        </w:tc>
        <w:tc>
          <w:tcPr>
            <w:tcW w:w="1275" w:type="dxa"/>
            <w:tcBorders>
              <w:top w:val="single" w:sz="4" w:space="0" w:color="auto"/>
              <w:left w:val="single" w:sz="4" w:space="0" w:color="auto"/>
              <w:bottom w:val="single" w:sz="4" w:space="0" w:color="auto"/>
              <w:right w:val="single" w:sz="4" w:space="0" w:color="auto"/>
            </w:tcBorders>
          </w:tcPr>
          <w:p w14:paraId="319BF447" w14:textId="77777777" w:rsidR="00A80FE4" w:rsidRPr="00A80FE4" w:rsidRDefault="00A80FE4" w:rsidP="00A80FE4">
            <w:pPr>
              <w:rPr>
                <w:rFonts w:ascii="Times New Roman" w:hAnsi="Times New Roman"/>
                <w:spacing w:val="0"/>
                <w:szCs w:val="24"/>
              </w:rPr>
            </w:pPr>
          </w:p>
        </w:tc>
      </w:tr>
      <w:tr w:rsidR="007345A2" w:rsidRPr="00A80FE4" w14:paraId="19CC5FE2"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126D4E8B" w14:textId="7F012C8D" w:rsidR="00A80FE4" w:rsidRPr="00A80FE4" w:rsidRDefault="006E0CB5" w:rsidP="00A80FE4">
            <w:pPr>
              <w:numPr>
                <w:ilvl w:val="0"/>
                <w:numId w:val="27"/>
              </w:numPr>
              <w:spacing w:line="256" w:lineRule="auto"/>
              <w:contextualSpacing/>
              <w:rPr>
                <w:rFonts w:ascii="Times New Roman" w:hAnsi="Times New Roman"/>
                <w:spacing w:val="0"/>
                <w:szCs w:val="24"/>
              </w:rPr>
            </w:pPr>
            <w:r>
              <w:rPr>
                <w:rFonts w:ascii="Times New Roman" w:hAnsi="Times New Roman"/>
                <w:spacing w:val="0"/>
                <w:szCs w:val="24"/>
              </w:rPr>
              <w:t>Market value</w:t>
            </w:r>
          </w:p>
        </w:tc>
        <w:tc>
          <w:tcPr>
            <w:tcW w:w="1276" w:type="dxa"/>
            <w:tcBorders>
              <w:top w:val="single" w:sz="4" w:space="0" w:color="auto"/>
              <w:left w:val="single" w:sz="4" w:space="0" w:color="auto"/>
              <w:bottom w:val="single" w:sz="4" w:space="0" w:color="auto"/>
              <w:right w:val="single" w:sz="4" w:space="0" w:color="auto"/>
            </w:tcBorders>
            <w:hideMark/>
          </w:tcPr>
          <w:p w14:paraId="066AE52B" w14:textId="77777777" w:rsidR="00A80FE4" w:rsidRPr="00A80FE4" w:rsidRDefault="00A80FE4" w:rsidP="00A80FE4">
            <w:pPr>
              <w:rPr>
                <w:rFonts w:ascii="Times New Roman" w:hAnsi="Times New Roman"/>
                <w:spacing w:val="0"/>
                <w:szCs w:val="24"/>
              </w:rPr>
            </w:pPr>
            <w:r w:rsidRPr="00A80FE4">
              <w:rPr>
                <w:rFonts w:ascii="Times New Roman" w:hAnsi="Times New Roman"/>
                <w:spacing w:val="0"/>
                <w:szCs w:val="24"/>
              </w:rPr>
              <w:t>£338,493</w:t>
            </w:r>
          </w:p>
        </w:tc>
        <w:tc>
          <w:tcPr>
            <w:tcW w:w="1275" w:type="dxa"/>
            <w:tcBorders>
              <w:top w:val="single" w:sz="4" w:space="0" w:color="auto"/>
              <w:left w:val="single" w:sz="4" w:space="0" w:color="auto"/>
              <w:bottom w:val="single" w:sz="4" w:space="0" w:color="auto"/>
              <w:right w:val="single" w:sz="4" w:space="0" w:color="auto"/>
            </w:tcBorders>
            <w:hideMark/>
          </w:tcPr>
          <w:p w14:paraId="4DE65EB7" w14:textId="3D257E3E" w:rsidR="00A80FE4" w:rsidRPr="00A80FE4" w:rsidRDefault="00A80FE4" w:rsidP="00A80FE4">
            <w:pPr>
              <w:rPr>
                <w:rFonts w:ascii="Times New Roman" w:hAnsi="Times New Roman"/>
                <w:spacing w:val="0"/>
                <w:szCs w:val="24"/>
              </w:rPr>
            </w:pPr>
            <w:r w:rsidRPr="00A80FE4">
              <w:rPr>
                <w:rFonts w:ascii="Times New Roman" w:hAnsi="Times New Roman"/>
                <w:spacing w:val="0"/>
                <w:szCs w:val="24"/>
              </w:rPr>
              <w:t>£</w:t>
            </w:r>
            <w:r w:rsidR="007C4512">
              <w:rPr>
                <w:rFonts w:ascii="Times New Roman" w:hAnsi="Times New Roman"/>
                <w:spacing w:val="0"/>
                <w:szCs w:val="24"/>
              </w:rPr>
              <w:t xml:space="preserve">  </w:t>
            </w:r>
            <w:r w:rsidRPr="00A80FE4">
              <w:rPr>
                <w:rFonts w:ascii="Times New Roman" w:hAnsi="Times New Roman"/>
                <w:spacing w:val="0"/>
                <w:szCs w:val="24"/>
              </w:rPr>
              <w:t>95,000</w:t>
            </w:r>
          </w:p>
        </w:tc>
      </w:tr>
      <w:tr w:rsidR="007345A2" w:rsidRPr="00A80FE4" w14:paraId="06C2148B"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50872CEE" w14:textId="77777777" w:rsidR="00A80FE4" w:rsidRPr="00A80FE4" w:rsidRDefault="00A80FE4" w:rsidP="00A80FE4">
            <w:pPr>
              <w:numPr>
                <w:ilvl w:val="0"/>
                <w:numId w:val="27"/>
              </w:numPr>
              <w:spacing w:line="256" w:lineRule="auto"/>
              <w:contextualSpacing/>
              <w:rPr>
                <w:rFonts w:ascii="Times New Roman" w:hAnsi="Times New Roman"/>
                <w:spacing w:val="0"/>
                <w:szCs w:val="24"/>
              </w:rPr>
            </w:pPr>
            <w:r w:rsidRPr="00A80FE4">
              <w:rPr>
                <w:rFonts w:ascii="Times New Roman" w:hAnsi="Times New Roman"/>
                <w:spacing w:val="0"/>
                <w:szCs w:val="24"/>
              </w:rPr>
              <w:t>Severance &amp; injurious affection</w:t>
            </w:r>
          </w:p>
        </w:tc>
        <w:tc>
          <w:tcPr>
            <w:tcW w:w="1276" w:type="dxa"/>
            <w:tcBorders>
              <w:top w:val="single" w:sz="4" w:space="0" w:color="auto"/>
              <w:left w:val="single" w:sz="4" w:space="0" w:color="auto"/>
              <w:bottom w:val="single" w:sz="4" w:space="0" w:color="auto"/>
              <w:right w:val="single" w:sz="4" w:space="0" w:color="auto"/>
            </w:tcBorders>
            <w:hideMark/>
          </w:tcPr>
          <w:p w14:paraId="6CD37967" w14:textId="77777777" w:rsidR="00A80FE4" w:rsidRPr="00A80FE4" w:rsidRDefault="00A80FE4" w:rsidP="00A80FE4">
            <w:pPr>
              <w:rPr>
                <w:rFonts w:ascii="Times New Roman" w:hAnsi="Times New Roman"/>
                <w:spacing w:val="0"/>
                <w:szCs w:val="24"/>
              </w:rPr>
            </w:pPr>
            <w:r w:rsidRPr="00A80FE4">
              <w:rPr>
                <w:rFonts w:ascii="Times New Roman" w:hAnsi="Times New Roman"/>
                <w:spacing w:val="0"/>
                <w:szCs w:val="24"/>
              </w:rPr>
              <w:t>£200,880</w:t>
            </w:r>
          </w:p>
        </w:tc>
        <w:tc>
          <w:tcPr>
            <w:tcW w:w="1275" w:type="dxa"/>
            <w:tcBorders>
              <w:top w:val="single" w:sz="4" w:space="0" w:color="auto"/>
              <w:left w:val="single" w:sz="4" w:space="0" w:color="auto"/>
              <w:bottom w:val="single" w:sz="4" w:space="0" w:color="auto"/>
              <w:right w:val="single" w:sz="4" w:space="0" w:color="auto"/>
            </w:tcBorders>
            <w:hideMark/>
          </w:tcPr>
          <w:p w14:paraId="07E5678C" w14:textId="6E108229" w:rsidR="00A80FE4" w:rsidRPr="00A80FE4" w:rsidRDefault="00A80FE4" w:rsidP="00A80FE4">
            <w:pPr>
              <w:rPr>
                <w:rFonts w:ascii="Times New Roman" w:hAnsi="Times New Roman"/>
                <w:spacing w:val="0"/>
                <w:szCs w:val="24"/>
              </w:rPr>
            </w:pPr>
            <w:r w:rsidRPr="00A80FE4">
              <w:rPr>
                <w:rFonts w:ascii="Times New Roman" w:hAnsi="Times New Roman"/>
                <w:spacing w:val="0"/>
                <w:szCs w:val="24"/>
              </w:rPr>
              <w:t>£</w:t>
            </w:r>
            <w:r w:rsidR="007C4512">
              <w:rPr>
                <w:rFonts w:ascii="Times New Roman" w:hAnsi="Times New Roman"/>
                <w:spacing w:val="0"/>
                <w:szCs w:val="24"/>
              </w:rPr>
              <w:t xml:space="preserve">  </w:t>
            </w:r>
            <w:r w:rsidRPr="00A80FE4">
              <w:rPr>
                <w:rFonts w:ascii="Times New Roman" w:hAnsi="Times New Roman"/>
                <w:spacing w:val="0"/>
                <w:szCs w:val="24"/>
              </w:rPr>
              <w:t>29,760</w:t>
            </w:r>
          </w:p>
        </w:tc>
      </w:tr>
      <w:tr w:rsidR="007345A2" w:rsidRPr="00A80FE4" w14:paraId="7A86C04A"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5E9AD230" w14:textId="3B469689" w:rsidR="00A80FE4" w:rsidRPr="00950D57" w:rsidRDefault="00950D57" w:rsidP="00753DA2">
            <w:pPr>
              <w:spacing w:line="256" w:lineRule="auto"/>
              <w:contextualSpacing/>
              <w:rPr>
                <w:rFonts w:ascii="Times New Roman" w:hAnsi="Times New Roman"/>
                <w:i/>
                <w:iCs/>
                <w:spacing w:val="0"/>
                <w:szCs w:val="24"/>
              </w:rPr>
            </w:pPr>
            <w:r w:rsidRPr="00950D57">
              <w:rPr>
                <w:rFonts w:ascii="Times New Roman" w:hAnsi="Times New Roman"/>
                <w:i/>
                <w:iCs/>
                <w:spacing w:val="0"/>
                <w:szCs w:val="24"/>
              </w:rPr>
              <w:t>E</w:t>
            </w:r>
            <w:r w:rsidR="00A80FE4" w:rsidRPr="00950D57">
              <w:rPr>
                <w:rFonts w:ascii="Times New Roman" w:hAnsi="Times New Roman"/>
                <w:i/>
                <w:iCs/>
                <w:spacing w:val="0"/>
                <w:szCs w:val="24"/>
              </w:rPr>
              <w:t>asement</w:t>
            </w:r>
          </w:p>
        </w:tc>
        <w:tc>
          <w:tcPr>
            <w:tcW w:w="1276" w:type="dxa"/>
            <w:tcBorders>
              <w:top w:val="single" w:sz="4" w:space="0" w:color="auto"/>
              <w:left w:val="single" w:sz="4" w:space="0" w:color="auto"/>
              <w:bottom w:val="single" w:sz="4" w:space="0" w:color="auto"/>
              <w:right w:val="single" w:sz="4" w:space="0" w:color="auto"/>
            </w:tcBorders>
            <w:hideMark/>
          </w:tcPr>
          <w:p w14:paraId="747E7664" w14:textId="7CF0C889" w:rsidR="00A80FE4" w:rsidRPr="00A80FE4" w:rsidRDefault="00A80FE4" w:rsidP="00A80FE4">
            <w:pPr>
              <w:rPr>
                <w:rFonts w:ascii="Times New Roman" w:hAnsi="Times New Roman"/>
                <w:spacing w:val="0"/>
                <w:szCs w:val="24"/>
              </w:rPr>
            </w:pPr>
          </w:p>
        </w:tc>
        <w:tc>
          <w:tcPr>
            <w:tcW w:w="1275" w:type="dxa"/>
            <w:tcBorders>
              <w:top w:val="single" w:sz="4" w:space="0" w:color="auto"/>
              <w:left w:val="single" w:sz="4" w:space="0" w:color="auto"/>
              <w:bottom w:val="single" w:sz="4" w:space="0" w:color="auto"/>
              <w:right w:val="single" w:sz="4" w:space="0" w:color="auto"/>
            </w:tcBorders>
            <w:hideMark/>
          </w:tcPr>
          <w:p w14:paraId="3290DD4E" w14:textId="044A682B" w:rsidR="00A80FE4" w:rsidRPr="00A80FE4" w:rsidRDefault="00A80FE4" w:rsidP="00A80FE4">
            <w:pPr>
              <w:rPr>
                <w:rFonts w:ascii="Times New Roman" w:hAnsi="Times New Roman"/>
                <w:spacing w:val="0"/>
                <w:szCs w:val="24"/>
              </w:rPr>
            </w:pPr>
          </w:p>
        </w:tc>
      </w:tr>
      <w:tr w:rsidR="007B2B96" w:rsidRPr="00A80FE4" w14:paraId="527F78D8" w14:textId="77777777" w:rsidTr="00B2313C">
        <w:tc>
          <w:tcPr>
            <w:tcW w:w="5812" w:type="dxa"/>
            <w:tcBorders>
              <w:top w:val="single" w:sz="4" w:space="0" w:color="auto"/>
              <w:left w:val="single" w:sz="4" w:space="0" w:color="auto"/>
              <w:bottom w:val="single" w:sz="4" w:space="0" w:color="auto"/>
              <w:right w:val="single" w:sz="4" w:space="0" w:color="auto"/>
            </w:tcBorders>
          </w:tcPr>
          <w:p w14:paraId="75991A3A" w14:textId="2A95CEC6" w:rsidR="007B2B96" w:rsidRPr="00950D57" w:rsidRDefault="00753DA2" w:rsidP="00A80FE4">
            <w:pPr>
              <w:numPr>
                <w:ilvl w:val="0"/>
                <w:numId w:val="27"/>
              </w:numPr>
              <w:spacing w:line="256" w:lineRule="auto"/>
              <w:contextualSpacing/>
              <w:rPr>
                <w:rFonts w:ascii="Times New Roman" w:hAnsi="Times New Roman"/>
                <w:spacing w:val="0"/>
                <w:szCs w:val="24"/>
              </w:rPr>
            </w:pPr>
            <w:r w:rsidRPr="00950D57">
              <w:rPr>
                <w:rFonts w:ascii="Times New Roman" w:hAnsi="Times New Roman"/>
                <w:spacing w:val="0"/>
                <w:szCs w:val="24"/>
              </w:rPr>
              <w:t>Severance &amp; injurious affection</w:t>
            </w:r>
          </w:p>
        </w:tc>
        <w:tc>
          <w:tcPr>
            <w:tcW w:w="1276" w:type="dxa"/>
            <w:tcBorders>
              <w:top w:val="single" w:sz="4" w:space="0" w:color="auto"/>
              <w:left w:val="single" w:sz="4" w:space="0" w:color="auto"/>
              <w:bottom w:val="single" w:sz="4" w:space="0" w:color="auto"/>
              <w:right w:val="single" w:sz="4" w:space="0" w:color="auto"/>
            </w:tcBorders>
          </w:tcPr>
          <w:p w14:paraId="0D9012CB" w14:textId="3C4A3D89" w:rsidR="007B2B96" w:rsidRPr="00A80FE4" w:rsidRDefault="00950D57" w:rsidP="00A80FE4">
            <w:pPr>
              <w:rPr>
                <w:spacing w:val="0"/>
                <w:szCs w:val="24"/>
              </w:rPr>
            </w:pPr>
            <w:r w:rsidRPr="00A80FE4">
              <w:rPr>
                <w:rFonts w:ascii="Times New Roman" w:hAnsi="Times New Roman"/>
                <w:spacing w:val="0"/>
                <w:szCs w:val="24"/>
              </w:rPr>
              <w:t>£       980</w:t>
            </w:r>
          </w:p>
        </w:tc>
        <w:tc>
          <w:tcPr>
            <w:tcW w:w="1275" w:type="dxa"/>
            <w:tcBorders>
              <w:top w:val="single" w:sz="4" w:space="0" w:color="auto"/>
              <w:left w:val="single" w:sz="4" w:space="0" w:color="auto"/>
              <w:bottom w:val="single" w:sz="4" w:space="0" w:color="auto"/>
              <w:right w:val="single" w:sz="4" w:space="0" w:color="auto"/>
            </w:tcBorders>
          </w:tcPr>
          <w:p w14:paraId="6B2DAE2A" w14:textId="358AEDC6" w:rsidR="007B2B96" w:rsidRPr="00A80FE4" w:rsidRDefault="00950D57" w:rsidP="00A80FE4">
            <w:pPr>
              <w:rPr>
                <w:spacing w:val="0"/>
                <w:szCs w:val="24"/>
              </w:rPr>
            </w:pPr>
            <w:r w:rsidRPr="00A80FE4">
              <w:rPr>
                <w:rFonts w:ascii="Times New Roman" w:hAnsi="Times New Roman"/>
                <w:spacing w:val="0"/>
                <w:szCs w:val="24"/>
              </w:rPr>
              <w:t xml:space="preserve">£ </w:t>
            </w:r>
            <w:r>
              <w:rPr>
                <w:rFonts w:ascii="Times New Roman" w:hAnsi="Times New Roman"/>
                <w:spacing w:val="0"/>
                <w:szCs w:val="24"/>
              </w:rPr>
              <w:t xml:space="preserve">  </w:t>
            </w:r>
            <w:r w:rsidRPr="00A80FE4">
              <w:rPr>
                <w:rFonts w:ascii="Times New Roman" w:hAnsi="Times New Roman"/>
                <w:spacing w:val="0"/>
                <w:szCs w:val="24"/>
              </w:rPr>
              <w:t xml:space="preserve">    655</w:t>
            </w:r>
          </w:p>
        </w:tc>
      </w:tr>
      <w:tr w:rsidR="007345A2" w:rsidRPr="00A80FE4" w14:paraId="71B6A461"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1E8BD79D" w14:textId="77777777" w:rsidR="00A80FE4" w:rsidRPr="00A80FE4" w:rsidRDefault="00A80FE4" w:rsidP="00A80FE4">
            <w:pPr>
              <w:rPr>
                <w:rFonts w:ascii="Times New Roman" w:hAnsi="Times New Roman"/>
                <w:i/>
                <w:iCs/>
                <w:spacing w:val="0"/>
                <w:szCs w:val="24"/>
              </w:rPr>
            </w:pPr>
            <w:r w:rsidRPr="00A80FE4">
              <w:rPr>
                <w:rFonts w:ascii="Times New Roman" w:hAnsi="Times New Roman"/>
                <w:i/>
                <w:iCs/>
                <w:spacing w:val="0"/>
                <w:szCs w:val="24"/>
              </w:rPr>
              <w:t>Car Park</w:t>
            </w:r>
          </w:p>
        </w:tc>
        <w:tc>
          <w:tcPr>
            <w:tcW w:w="1276" w:type="dxa"/>
            <w:tcBorders>
              <w:top w:val="single" w:sz="4" w:space="0" w:color="auto"/>
              <w:left w:val="single" w:sz="4" w:space="0" w:color="auto"/>
              <w:bottom w:val="single" w:sz="4" w:space="0" w:color="auto"/>
              <w:right w:val="single" w:sz="4" w:space="0" w:color="auto"/>
            </w:tcBorders>
          </w:tcPr>
          <w:p w14:paraId="75DB57E8" w14:textId="77777777" w:rsidR="00A80FE4" w:rsidRPr="00A80FE4" w:rsidRDefault="00A80FE4" w:rsidP="00A80FE4">
            <w:pPr>
              <w:rPr>
                <w:rFonts w:ascii="Times New Roman" w:hAnsi="Times New Roman"/>
                <w:spacing w:val="0"/>
                <w:szCs w:val="24"/>
              </w:rPr>
            </w:pPr>
          </w:p>
        </w:tc>
        <w:tc>
          <w:tcPr>
            <w:tcW w:w="1275" w:type="dxa"/>
            <w:tcBorders>
              <w:top w:val="single" w:sz="4" w:space="0" w:color="auto"/>
              <w:left w:val="single" w:sz="4" w:space="0" w:color="auto"/>
              <w:bottom w:val="single" w:sz="4" w:space="0" w:color="auto"/>
              <w:right w:val="single" w:sz="4" w:space="0" w:color="auto"/>
            </w:tcBorders>
          </w:tcPr>
          <w:p w14:paraId="7AC8501F" w14:textId="77777777" w:rsidR="00A80FE4" w:rsidRPr="00A80FE4" w:rsidRDefault="00A80FE4" w:rsidP="00A80FE4">
            <w:pPr>
              <w:rPr>
                <w:rFonts w:ascii="Times New Roman" w:hAnsi="Times New Roman"/>
                <w:spacing w:val="0"/>
                <w:szCs w:val="24"/>
              </w:rPr>
            </w:pPr>
          </w:p>
        </w:tc>
      </w:tr>
      <w:tr w:rsidR="007345A2" w:rsidRPr="00A80FE4" w14:paraId="16343FD1"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06CD0578" w14:textId="5C18986A" w:rsidR="00A80FE4" w:rsidRPr="00A80FE4" w:rsidRDefault="006E0CB5" w:rsidP="00A80FE4">
            <w:pPr>
              <w:numPr>
                <w:ilvl w:val="0"/>
                <w:numId w:val="27"/>
              </w:numPr>
              <w:spacing w:line="256" w:lineRule="auto"/>
              <w:contextualSpacing/>
              <w:rPr>
                <w:rFonts w:ascii="Times New Roman" w:hAnsi="Times New Roman"/>
                <w:spacing w:val="0"/>
                <w:szCs w:val="24"/>
              </w:rPr>
            </w:pPr>
            <w:r>
              <w:rPr>
                <w:rFonts w:ascii="Times New Roman" w:hAnsi="Times New Roman"/>
                <w:spacing w:val="0"/>
                <w:szCs w:val="24"/>
              </w:rPr>
              <w:t>M</w:t>
            </w:r>
            <w:r w:rsidR="00A80FE4" w:rsidRPr="00A80FE4">
              <w:rPr>
                <w:rFonts w:ascii="Times New Roman" w:hAnsi="Times New Roman"/>
                <w:spacing w:val="0"/>
                <w:szCs w:val="24"/>
              </w:rPr>
              <w:t>arket value</w:t>
            </w:r>
          </w:p>
        </w:tc>
        <w:tc>
          <w:tcPr>
            <w:tcW w:w="1276" w:type="dxa"/>
            <w:tcBorders>
              <w:top w:val="single" w:sz="4" w:space="0" w:color="auto"/>
              <w:left w:val="single" w:sz="4" w:space="0" w:color="auto"/>
              <w:bottom w:val="single" w:sz="4" w:space="0" w:color="auto"/>
              <w:right w:val="single" w:sz="4" w:space="0" w:color="auto"/>
            </w:tcBorders>
            <w:hideMark/>
          </w:tcPr>
          <w:p w14:paraId="02577330" w14:textId="77777777" w:rsidR="00A80FE4" w:rsidRPr="00A80FE4" w:rsidRDefault="00A80FE4" w:rsidP="00A80FE4">
            <w:pPr>
              <w:rPr>
                <w:rFonts w:ascii="Times New Roman" w:hAnsi="Times New Roman"/>
                <w:spacing w:val="0"/>
                <w:szCs w:val="24"/>
              </w:rPr>
            </w:pPr>
            <w:r w:rsidRPr="00A80FE4">
              <w:rPr>
                <w:rFonts w:ascii="Times New Roman" w:hAnsi="Times New Roman"/>
                <w:spacing w:val="0"/>
                <w:szCs w:val="24"/>
              </w:rPr>
              <w:t>£107,905</w:t>
            </w:r>
          </w:p>
        </w:tc>
        <w:tc>
          <w:tcPr>
            <w:tcW w:w="1275" w:type="dxa"/>
            <w:tcBorders>
              <w:top w:val="single" w:sz="4" w:space="0" w:color="auto"/>
              <w:left w:val="single" w:sz="4" w:space="0" w:color="auto"/>
              <w:bottom w:val="single" w:sz="4" w:space="0" w:color="auto"/>
              <w:right w:val="single" w:sz="4" w:space="0" w:color="auto"/>
            </w:tcBorders>
            <w:hideMark/>
          </w:tcPr>
          <w:p w14:paraId="6FEA9A74" w14:textId="2F14400F" w:rsidR="00A80FE4" w:rsidRPr="00A80FE4" w:rsidRDefault="00A80FE4" w:rsidP="00A80FE4">
            <w:pPr>
              <w:rPr>
                <w:rFonts w:ascii="Times New Roman" w:hAnsi="Times New Roman"/>
                <w:spacing w:val="0"/>
                <w:szCs w:val="24"/>
              </w:rPr>
            </w:pPr>
            <w:r w:rsidRPr="00A80FE4">
              <w:rPr>
                <w:rFonts w:ascii="Times New Roman" w:hAnsi="Times New Roman"/>
                <w:spacing w:val="0"/>
                <w:szCs w:val="24"/>
              </w:rPr>
              <w:t>£</w:t>
            </w:r>
            <w:r w:rsidR="007C4512">
              <w:rPr>
                <w:rFonts w:ascii="Times New Roman" w:hAnsi="Times New Roman"/>
                <w:spacing w:val="0"/>
                <w:szCs w:val="24"/>
              </w:rPr>
              <w:t xml:space="preserve">  </w:t>
            </w:r>
            <w:r w:rsidRPr="00A80FE4">
              <w:rPr>
                <w:rFonts w:ascii="Times New Roman" w:hAnsi="Times New Roman"/>
                <w:spacing w:val="0"/>
                <w:szCs w:val="24"/>
              </w:rPr>
              <w:t>75,000</w:t>
            </w:r>
          </w:p>
        </w:tc>
      </w:tr>
      <w:tr w:rsidR="007345A2" w:rsidRPr="00A80FE4" w14:paraId="225FFD6E"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6D810014" w14:textId="77777777" w:rsidR="00A80FE4" w:rsidRPr="00A80FE4" w:rsidRDefault="00A80FE4" w:rsidP="00A80FE4">
            <w:pPr>
              <w:numPr>
                <w:ilvl w:val="0"/>
                <w:numId w:val="27"/>
              </w:numPr>
              <w:spacing w:line="256" w:lineRule="auto"/>
              <w:contextualSpacing/>
              <w:rPr>
                <w:rFonts w:ascii="Times New Roman" w:hAnsi="Times New Roman"/>
                <w:spacing w:val="0"/>
                <w:szCs w:val="24"/>
              </w:rPr>
            </w:pPr>
            <w:r w:rsidRPr="00A80FE4">
              <w:rPr>
                <w:rFonts w:ascii="Times New Roman" w:hAnsi="Times New Roman"/>
                <w:spacing w:val="0"/>
                <w:szCs w:val="24"/>
              </w:rPr>
              <w:t>Severance &amp; injurious affection</w:t>
            </w:r>
          </w:p>
        </w:tc>
        <w:tc>
          <w:tcPr>
            <w:tcW w:w="1276" w:type="dxa"/>
            <w:tcBorders>
              <w:top w:val="single" w:sz="4" w:space="0" w:color="auto"/>
              <w:left w:val="single" w:sz="4" w:space="0" w:color="auto"/>
              <w:bottom w:val="single" w:sz="4" w:space="0" w:color="auto"/>
              <w:right w:val="single" w:sz="4" w:space="0" w:color="auto"/>
            </w:tcBorders>
            <w:hideMark/>
          </w:tcPr>
          <w:p w14:paraId="08ECE03A" w14:textId="77777777" w:rsidR="00A80FE4" w:rsidRPr="00A80FE4" w:rsidRDefault="00A80FE4" w:rsidP="00A80FE4">
            <w:pPr>
              <w:rPr>
                <w:rFonts w:ascii="Times New Roman" w:hAnsi="Times New Roman"/>
                <w:spacing w:val="0"/>
                <w:szCs w:val="24"/>
              </w:rPr>
            </w:pPr>
            <w:r w:rsidRPr="00A80FE4">
              <w:rPr>
                <w:rFonts w:ascii="Times New Roman" w:hAnsi="Times New Roman"/>
                <w:spacing w:val="0"/>
                <w:szCs w:val="24"/>
              </w:rPr>
              <w:t>£116,774</w:t>
            </w:r>
          </w:p>
        </w:tc>
        <w:tc>
          <w:tcPr>
            <w:tcW w:w="1275" w:type="dxa"/>
            <w:tcBorders>
              <w:top w:val="single" w:sz="4" w:space="0" w:color="auto"/>
              <w:left w:val="single" w:sz="4" w:space="0" w:color="auto"/>
              <w:bottom w:val="single" w:sz="4" w:space="0" w:color="auto"/>
              <w:right w:val="single" w:sz="4" w:space="0" w:color="auto"/>
            </w:tcBorders>
            <w:hideMark/>
          </w:tcPr>
          <w:p w14:paraId="0262C659" w14:textId="559BB2A2" w:rsidR="00A80FE4" w:rsidRPr="00A80FE4" w:rsidRDefault="00A80FE4" w:rsidP="00A80FE4">
            <w:pPr>
              <w:rPr>
                <w:rFonts w:ascii="Times New Roman" w:hAnsi="Times New Roman"/>
                <w:spacing w:val="0"/>
                <w:szCs w:val="24"/>
              </w:rPr>
            </w:pPr>
            <w:r w:rsidRPr="00A80FE4">
              <w:rPr>
                <w:rFonts w:ascii="Times New Roman" w:hAnsi="Times New Roman"/>
                <w:spacing w:val="0"/>
                <w:szCs w:val="24"/>
              </w:rPr>
              <w:t>£</w:t>
            </w:r>
            <w:r w:rsidR="007C4512">
              <w:rPr>
                <w:rFonts w:ascii="Times New Roman" w:hAnsi="Times New Roman"/>
                <w:spacing w:val="0"/>
                <w:szCs w:val="24"/>
              </w:rPr>
              <w:t xml:space="preserve">  </w:t>
            </w:r>
            <w:r w:rsidRPr="00A80FE4">
              <w:rPr>
                <w:rFonts w:ascii="Times New Roman" w:hAnsi="Times New Roman"/>
                <w:spacing w:val="0"/>
                <w:szCs w:val="24"/>
              </w:rPr>
              <w:t>20,000</w:t>
            </w:r>
          </w:p>
        </w:tc>
      </w:tr>
      <w:tr w:rsidR="007345A2" w:rsidRPr="00A80FE4" w14:paraId="4651FCCD"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578A282C" w14:textId="77777777" w:rsidR="00A80FE4" w:rsidRPr="00A80FE4" w:rsidRDefault="00A80FE4" w:rsidP="00A80FE4">
            <w:pPr>
              <w:rPr>
                <w:rFonts w:ascii="Times New Roman" w:hAnsi="Times New Roman"/>
                <w:i/>
                <w:iCs/>
                <w:spacing w:val="0"/>
                <w:szCs w:val="24"/>
              </w:rPr>
            </w:pPr>
            <w:r w:rsidRPr="00A80FE4">
              <w:rPr>
                <w:rFonts w:ascii="Times New Roman" w:hAnsi="Times New Roman"/>
                <w:i/>
                <w:iCs/>
                <w:spacing w:val="0"/>
                <w:szCs w:val="24"/>
              </w:rPr>
              <w:t>Telecommunications mast</w:t>
            </w:r>
          </w:p>
        </w:tc>
        <w:tc>
          <w:tcPr>
            <w:tcW w:w="1276" w:type="dxa"/>
            <w:tcBorders>
              <w:top w:val="single" w:sz="4" w:space="0" w:color="auto"/>
              <w:left w:val="single" w:sz="4" w:space="0" w:color="auto"/>
              <w:bottom w:val="single" w:sz="4" w:space="0" w:color="auto"/>
              <w:right w:val="single" w:sz="4" w:space="0" w:color="auto"/>
            </w:tcBorders>
          </w:tcPr>
          <w:p w14:paraId="6A340E34" w14:textId="77777777" w:rsidR="00A80FE4" w:rsidRPr="00A80FE4" w:rsidRDefault="00A80FE4" w:rsidP="00A80FE4">
            <w:pPr>
              <w:rPr>
                <w:rFonts w:ascii="Times New Roman" w:hAnsi="Times New Roman"/>
                <w:spacing w:val="0"/>
                <w:szCs w:val="24"/>
              </w:rPr>
            </w:pPr>
          </w:p>
        </w:tc>
        <w:tc>
          <w:tcPr>
            <w:tcW w:w="1275" w:type="dxa"/>
            <w:tcBorders>
              <w:top w:val="single" w:sz="4" w:space="0" w:color="auto"/>
              <w:left w:val="single" w:sz="4" w:space="0" w:color="auto"/>
              <w:bottom w:val="single" w:sz="4" w:space="0" w:color="auto"/>
              <w:right w:val="single" w:sz="4" w:space="0" w:color="auto"/>
            </w:tcBorders>
          </w:tcPr>
          <w:p w14:paraId="6A11C225" w14:textId="77777777" w:rsidR="00A80FE4" w:rsidRPr="00A80FE4" w:rsidRDefault="00A80FE4" w:rsidP="00A80FE4">
            <w:pPr>
              <w:rPr>
                <w:rFonts w:ascii="Times New Roman" w:hAnsi="Times New Roman"/>
                <w:spacing w:val="0"/>
                <w:szCs w:val="24"/>
              </w:rPr>
            </w:pPr>
          </w:p>
        </w:tc>
      </w:tr>
      <w:tr w:rsidR="007345A2" w:rsidRPr="00A80FE4" w14:paraId="7A8D07DC"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525C2BDF" w14:textId="77777777" w:rsidR="00A80FE4" w:rsidRPr="00A80FE4" w:rsidRDefault="00A80FE4" w:rsidP="00A80FE4">
            <w:pPr>
              <w:numPr>
                <w:ilvl w:val="0"/>
                <w:numId w:val="27"/>
              </w:numPr>
              <w:spacing w:line="256" w:lineRule="auto"/>
              <w:contextualSpacing/>
              <w:rPr>
                <w:rFonts w:ascii="Times New Roman" w:hAnsi="Times New Roman"/>
                <w:spacing w:val="0"/>
                <w:szCs w:val="24"/>
              </w:rPr>
            </w:pPr>
            <w:r w:rsidRPr="00A80FE4">
              <w:rPr>
                <w:rFonts w:ascii="Times New Roman" w:hAnsi="Times New Roman"/>
                <w:spacing w:val="0"/>
                <w:szCs w:val="24"/>
              </w:rPr>
              <w:t>Injurious affection</w:t>
            </w:r>
          </w:p>
        </w:tc>
        <w:tc>
          <w:tcPr>
            <w:tcW w:w="1276" w:type="dxa"/>
            <w:tcBorders>
              <w:top w:val="single" w:sz="4" w:space="0" w:color="auto"/>
              <w:left w:val="single" w:sz="4" w:space="0" w:color="auto"/>
              <w:bottom w:val="single" w:sz="4" w:space="0" w:color="auto"/>
              <w:right w:val="single" w:sz="4" w:space="0" w:color="auto"/>
            </w:tcBorders>
            <w:hideMark/>
          </w:tcPr>
          <w:p w14:paraId="350BFD54" w14:textId="77777777" w:rsidR="00A80FE4" w:rsidRPr="00A80FE4" w:rsidRDefault="00A80FE4" w:rsidP="00A80FE4">
            <w:pPr>
              <w:rPr>
                <w:rFonts w:ascii="Times New Roman" w:hAnsi="Times New Roman"/>
                <w:spacing w:val="0"/>
                <w:szCs w:val="24"/>
              </w:rPr>
            </w:pPr>
            <w:r w:rsidRPr="00A80FE4">
              <w:rPr>
                <w:rFonts w:ascii="Times New Roman" w:hAnsi="Times New Roman"/>
                <w:spacing w:val="0"/>
                <w:szCs w:val="24"/>
              </w:rPr>
              <w:t>£  19,871</w:t>
            </w:r>
          </w:p>
        </w:tc>
        <w:tc>
          <w:tcPr>
            <w:tcW w:w="1275" w:type="dxa"/>
            <w:tcBorders>
              <w:top w:val="single" w:sz="4" w:space="0" w:color="auto"/>
              <w:left w:val="single" w:sz="4" w:space="0" w:color="auto"/>
              <w:bottom w:val="single" w:sz="4" w:space="0" w:color="auto"/>
              <w:right w:val="single" w:sz="4" w:space="0" w:color="auto"/>
            </w:tcBorders>
            <w:hideMark/>
          </w:tcPr>
          <w:p w14:paraId="280247E6" w14:textId="74E9B8FE" w:rsidR="00A80FE4" w:rsidRPr="00A80FE4" w:rsidRDefault="00A80FE4" w:rsidP="00A80FE4">
            <w:pPr>
              <w:rPr>
                <w:rFonts w:ascii="Times New Roman" w:hAnsi="Times New Roman"/>
                <w:spacing w:val="0"/>
                <w:szCs w:val="24"/>
              </w:rPr>
            </w:pPr>
            <w:r w:rsidRPr="00A80FE4">
              <w:rPr>
                <w:rFonts w:ascii="Times New Roman" w:hAnsi="Times New Roman"/>
                <w:spacing w:val="0"/>
                <w:szCs w:val="24"/>
              </w:rPr>
              <w:t>£</w:t>
            </w:r>
            <w:r w:rsidR="007C4512">
              <w:rPr>
                <w:rFonts w:ascii="Times New Roman" w:hAnsi="Times New Roman"/>
                <w:spacing w:val="0"/>
                <w:szCs w:val="24"/>
              </w:rPr>
              <w:t xml:space="preserve">  </w:t>
            </w:r>
            <w:r w:rsidRPr="00A80FE4">
              <w:rPr>
                <w:rFonts w:ascii="Times New Roman" w:hAnsi="Times New Roman"/>
                <w:spacing w:val="0"/>
                <w:szCs w:val="24"/>
              </w:rPr>
              <w:t>19,871</w:t>
            </w:r>
          </w:p>
        </w:tc>
      </w:tr>
      <w:tr w:rsidR="007345A2" w:rsidRPr="00A80FE4" w14:paraId="12EE9D0E" w14:textId="77777777" w:rsidTr="00B2313C">
        <w:tc>
          <w:tcPr>
            <w:tcW w:w="5812" w:type="dxa"/>
            <w:tcBorders>
              <w:top w:val="single" w:sz="4" w:space="0" w:color="auto"/>
              <w:left w:val="single" w:sz="4" w:space="0" w:color="auto"/>
              <w:bottom w:val="single" w:sz="4" w:space="0" w:color="auto"/>
              <w:right w:val="single" w:sz="4" w:space="0" w:color="auto"/>
            </w:tcBorders>
            <w:hideMark/>
          </w:tcPr>
          <w:p w14:paraId="0F7383CD" w14:textId="77777777" w:rsidR="00A80FE4" w:rsidRPr="00A80FE4" w:rsidRDefault="00A80FE4" w:rsidP="00A80FE4">
            <w:pPr>
              <w:rPr>
                <w:rFonts w:ascii="Times New Roman" w:hAnsi="Times New Roman"/>
                <w:i/>
                <w:iCs/>
                <w:spacing w:val="0"/>
                <w:szCs w:val="24"/>
              </w:rPr>
            </w:pPr>
            <w:r w:rsidRPr="00A80FE4">
              <w:rPr>
                <w:rFonts w:ascii="Times New Roman" w:hAnsi="Times New Roman"/>
                <w:i/>
                <w:iCs/>
                <w:spacing w:val="0"/>
                <w:szCs w:val="24"/>
              </w:rPr>
              <w:t>Disturbance</w:t>
            </w:r>
          </w:p>
        </w:tc>
        <w:tc>
          <w:tcPr>
            <w:tcW w:w="1276" w:type="dxa"/>
            <w:tcBorders>
              <w:top w:val="single" w:sz="4" w:space="0" w:color="auto"/>
              <w:left w:val="single" w:sz="4" w:space="0" w:color="auto"/>
              <w:bottom w:val="single" w:sz="4" w:space="0" w:color="auto"/>
              <w:right w:val="single" w:sz="4" w:space="0" w:color="auto"/>
            </w:tcBorders>
          </w:tcPr>
          <w:p w14:paraId="5D941322" w14:textId="77777777" w:rsidR="00A80FE4" w:rsidRPr="00A80FE4" w:rsidRDefault="00A80FE4" w:rsidP="00A80FE4">
            <w:pPr>
              <w:rPr>
                <w:rFonts w:ascii="Times New Roman" w:hAnsi="Times New Roman"/>
                <w:spacing w:val="0"/>
                <w:szCs w:val="24"/>
              </w:rPr>
            </w:pPr>
          </w:p>
        </w:tc>
        <w:tc>
          <w:tcPr>
            <w:tcW w:w="1275" w:type="dxa"/>
            <w:tcBorders>
              <w:top w:val="single" w:sz="4" w:space="0" w:color="auto"/>
              <w:left w:val="single" w:sz="4" w:space="0" w:color="auto"/>
              <w:bottom w:val="single" w:sz="4" w:space="0" w:color="auto"/>
              <w:right w:val="single" w:sz="4" w:space="0" w:color="auto"/>
            </w:tcBorders>
          </w:tcPr>
          <w:p w14:paraId="14AEDA05" w14:textId="77777777" w:rsidR="00A80FE4" w:rsidRPr="00A80FE4" w:rsidRDefault="00A80FE4" w:rsidP="00A80FE4">
            <w:pPr>
              <w:rPr>
                <w:rFonts w:ascii="Times New Roman" w:hAnsi="Times New Roman"/>
                <w:spacing w:val="0"/>
                <w:szCs w:val="24"/>
              </w:rPr>
            </w:pPr>
          </w:p>
        </w:tc>
      </w:tr>
      <w:tr w:rsidR="00F3416E" w:rsidRPr="00A80FE4" w14:paraId="176DE357" w14:textId="77777777" w:rsidTr="00B2313C">
        <w:tc>
          <w:tcPr>
            <w:tcW w:w="5812" w:type="dxa"/>
            <w:tcBorders>
              <w:top w:val="single" w:sz="4" w:space="0" w:color="auto"/>
              <w:left w:val="single" w:sz="4" w:space="0" w:color="auto"/>
              <w:bottom w:val="single" w:sz="4" w:space="0" w:color="auto"/>
              <w:right w:val="single" w:sz="4" w:space="0" w:color="auto"/>
            </w:tcBorders>
          </w:tcPr>
          <w:p w14:paraId="670BCE24" w14:textId="2C17EB03" w:rsidR="00F3416E" w:rsidRPr="00A80FE4" w:rsidRDefault="00F3416E" w:rsidP="00F3416E">
            <w:pPr>
              <w:numPr>
                <w:ilvl w:val="0"/>
                <w:numId w:val="27"/>
              </w:numPr>
              <w:spacing w:line="256" w:lineRule="auto"/>
              <w:contextualSpacing/>
              <w:rPr>
                <w:rFonts w:ascii="Times New Roman" w:hAnsi="Times New Roman"/>
                <w:spacing w:val="0"/>
                <w:szCs w:val="24"/>
              </w:rPr>
            </w:pPr>
            <w:r w:rsidRPr="00A80FE4">
              <w:rPr>
                <w:rFonts w:ascii="Times New Roman" w:hAnsi="Times New Roman"/>
                <w:spacing w:val="0"/>
                <w:szCs w:val="24"/>
              </w:rPr>
              <w:t>Landowners’ time</w:t>
            </w:r>
          </w:p>
        </w:tc>
        <w:tc>
          <w:tcPr>
            <w:tcW w:w="1276" w:type="dxa"/>
            <w:tcBorders>
              <w:top w:val="single" w:sz="4" w:space="0" w:color="auto"/>
              <w:left w:val="single" w:sz="4" w:space="0" w:color="auto"/>
              <w:bottom w:val="single" w:sz="4" w:space="0" w:color="auto"/>
              <w:right w:val="single" w:sz="4" w:space="0" w:color="auto"/>
            </w:tcBorders>
          </w:tcPr>
          <w:p w14:paraId="4AF033CA" w14:textId="796D9A59" w:rsidR="00F3416E" w:rsidRPr="00A80FE4" w:rsidRDefault="009753DF" w:rsidP="00F3416E">
            <w:pPr>
              <w:rPr>
                <w:rFonts w:ascii="Times New Roman" w:hAnsi="Times New Roman"/>
                <w:spacing w:val="0"/>
                <w:szCs w:val="24"/>
              </w:rPr>
            </w:pPr>
            <w:r>
              <w:rPr>
                <w:rFonts w:ascii="Times New Roman" w:hAnsi="Times New Roman"/>
                <w:spacing w:val="0"/>
                <w:szCs w:val="24"/>
              </w:rPr>
              <w:t xml:space="preserve">£  </w:t>
            </w:r>
            <w:r w:rsidR="0063189D">
              <w:rPr>
                <w:rFonts w:ascii="Times New Roman" w:hAnsi="Times New Roman"/>
                <w:spacing w:val="0"/>
                <w:szCs w:val="24"/>
              </w:rPr>
              <w:t>57,480</w:t>
            </w:r>
          </w:p>
        </w:tc>
        <w:tc>
          <w:tcPr>
            <w:tcW w:w="1275" w:type="dxa"/>
            <w:tcBorders>
              <w:top w:val="single" w:sz="4" w:space="0" w:color="auto"/>
              <w:left w:val="single" w:sz="4" w:space="0" w:color="auto"/>
              <w:bottom w:val="single" w:sz="4" w:space="0" w:color="auto"/>
              <w:right w:val="single" w:sz="4" w:space="0" w:color="auto"/>
            </w:tcBorders>
          </w:tcPr>
          <w:p w14:paraId="7BFF97C2" w14:textId="2F125CC4" w:rsidR="00F3416E" w:rsidRPr="00A80FE4" w:rsidRDefault="0063189D" w:rsidP="00F3416E">
            <w:pPr>
              <w:rPr>
                <w:rFonts w:ascii="Times New Roman" w:hAnsi="Times New Roman"/>
                <w:spacing w:val="0"/>
                <w:szCs w:val="24"/>
              </w:rPr>
            </w:pPr>
            <w:r>
              <w:rPr>
                <w:rFonts w:ascii="Times New Roman" w:hAnsi="Times New Roman"/>
                <w:spacing w:val="0"/>
                <w:szCs w:val="24"/>
              </w:rPr>
              <w:t>£</w:t>
            </w:r>
            <w:r w:rsidR="007C4512">
              <w:rPr>
                <w:rFonts w:ascii="Times New Roman" w:hAnsi="Times New Roman"/>
                <w:spacing w:val="0"/>
                <w:szCs w:val="24"/>
              </w:rPr>
              <w:t xml:space="preserve">  </w:t>
            </w:r>
            <w:r>
              <w:rPr>
                <w:rFonts w:ascii="Times New Roman" w:hAnsi="Times New Roman"/>
                <w:spacing w:val="0"/>
                <w:szCs w:val="24"/>
              </w:rPr>
              <w:t>26,350</w:t>
            </w:r>
          </w:p>
        </w:tc>
      </w:tr>
      <w:tr w:rsidR="00C1649D" w:rsidRPr="00A80FE4" w14:paraId="5886304D" w14:textId="77777777" w:rsidTr="00B2313C">
        <w:tc>
          <w:tcPr>
            <w:tcW w:w="5812" w:type="dxa"/>
            <w:tcBorders>
              <w:top w:val="single" w:sz="4" w:space="0" w:color="auto"/>
              <w:left w:val="single" w:sz="4" w:space="0" w:color="auto"/>
              <w:bottom w:val="single" w:sz="4" w:space="0" w:color="auto"/>
              <w:right w:val="single" w:sz="4" w:space="0" w:color="auto"/>
            </w:tcBorders>
          </w:tcPr>
          <w:p w14:paraId="681C5508" w14:textId="6D6D0B08" w:rsidR="00C1649D" w:rsidRPr="00C162CE" w:rsidRDefault="00C1649D" w:rsidP="00F3416E">
            <w:pPr>
              <w:numPr>
                <w:ilvl w:val="0"/>
                <w:numId w:val="27"/>
              </w:numPr>
              <w:spacing w:line="256" w:lineRule="auto"/>
              <w:contextualSpacing/>
              <w:rPr>
                <w:rFonts w:ascii="Times New Roman" w:hAnsi="Times New Roman"/>
                <w:spacing w:val="0"/>
                <w:szCs w:val="24"/>
              </w:rPr>
            </w:pPr>
            <w:r w:rsidRPr="00C162CE">
              <w:rPr>
                <w:rFonts w:ascii="Times New Roman" w:hAnsi="Times New Roman"/>
                <w:spacing w:val="0"/>
                <w:szCs w:val="24"/>
              </w:rPr>
              <w:t>Other</w:t>
            </w:r>
          </w:p>
        </w:tc>
        <w:tc>
          <w:tcPr>
            <w:tcW w:w="1276" w:type="dxa"/>
            <w:tcBorders>
              <w:top w:val="single" w:sz="4" w:space="0" w:color="auto"/>
              <w:left w:val="single" w:sz="4" w:space="0" w:color="auto"/>
              <w:bottom w:val="single" w:sz="4" w:space="0" w:color="auto"/>
              <w:right w:val="single" w:sz="4" w:space="0" w:color="auto"/>
            </w:tcBorders>
          </w:tcPr>
          <w:p w14:paraId="21F7014E" w14:textId="41F3E8F7" w:rsidR="00C1649D" w:rsidRPr="00C01665" w:rsidRDefault="00C01665" w:rsidP="00F3416E">
            <w:pPr>
              <w:rPr>
                <w:rFonts w:ascii="Times New Roman" w:hAnsi="Times New Roman"/>
                <w:spacing w:val="0"/>
                <w:szCs w:val="24"/>
              </w:rPr>
            </w:pPr>
            <w:r w:rsidRPr="00C01665">
              <w:rPr>
                <w:rFonts w:ascii="Times New Roman" w:hAnsi="Times New Roman"/>
                <w:spacing w:val="0"/>
                <w:szCs w:val="24"/>
              </w:rPr>
              <w:t>£  22,095</w:t>
            </w:r>
          </w:p>
        </w:tc>
        <w:tc>
          <w:tcPr>
            <w:tcW w:w="1275" w:type="dxa"/>
            <w:tcBorders>
              <w:top w:val="single" w:sz="4" w:space="0" w:color="auto"/>
              <w:left w:val="single" w:sz="4" w:space="0" w:color="auto"/>
              <w:bottom w:val="single" w:sz="4" w:space="0" w:color="auto"/>
              <w:right w:val="single" w:sz="4" w:space="0" w:color="auto"/>
            </w:tcBorders>
          </w:tcPr>
          <w:p w14:paraId="1BF9C84F" w14:textId="65EEE895" w:rsidR="00C1649D" w:rsidRPr="00B330A6" w:rsidRDefault="00C01665" w:rsidP="00F3416E">
            <w:pPr>
              <w:rPr>
                <w:rFonts w:ascii="Times New Roman" w:hAnsi="Times New Roman"/>
                <w:spacing w:val="0"/>
                <w:szCs w:val="24"/>
              </w:rPr>
            </w:pPr>
            <w:r w:rsidRPr="00B330A6">
              <w:rPr>
                <w:rFonts w:ascii="Times New Roman" w:hAnsi="Times New Roman"/>
                <w:spacing w:val="0"/>
                <w:szCs w:val="24"/>
              </w:rPr>
              <w:t>£  18,</w:t>
            </w:r>
            <w:r w:rsidR="00B330A6" w:rsidRPr="00B330A6">
              <w:rPr>
                <w:rFonts w:ascii="Times New Roman" w:hAnsi="Times New Roman"/>
                <w:spacing w:val="0"/>
                <w:szCs w:val="24"/>
              </w:rPr>
              <w:t>148</w:t>
            </w:r>
          </w:p>
        </w:tc>
      </w:tr>
      <w:tr w:rsidR="00F3416E" w:rsidRPr="00A80FE4" w14:paraId="490C9309" w14:textId="77777777" w:rsidTr="00B2313C">
        <w:tc>
          <w:tcPr>
            <w:tcW w:w="5812" w:type="dxa"/>
            <w:tcBorders>
              <w:top w:val="single" w:sz="4" w:space="0" w:color="auto"/>
              <w:left w:val="single" w:sz="4" w:space="0" w:color="auto"/>
              <w:bottom w:val="single" w:sz="4" w:space="0" w:color="auto"/>
              <w:right w:val="single" w:sz="4" w:space="0" w:color="auto"/>
            </w:tcBorders>
          </w:tcPr>
          <w:p w14:paraId="6DB74FCD" w14:textId="1A5089B9" w:rsidR="00F3416E" w:rsidRPr="00A80FE4" w:rsidRDefault="00175107" w:rsidP="00175107">
            <w:pPr>
              <w:spacing w:line="256" w:lineRule="auto"/>
              <w:contextualSpacing/>
              <w:rPr>
                <w:rFonts w:ascii="Times New Roman" w:hAnsi="Times New Roman"/>
                <w:i/>
                <w:iCs/>
                <w:spacing w:val="0"/>
                <w:szCs w:val="24"/>
              </w:rPr>
            </w:pPr>
            <w:r w:rsidRPr="007C4512">
              <w:rPr>
                <w:rFonts w:ascii="Times New Roman" w:hAnsi="Times New Roman"/>
                <w:i/>
                <w:iCs/>
                <w:spacing w:val="0"/>
                <w:szCs w:val="24"/>
              </w:rPr>
              <w:t>Basic Loss Payment</w:t>
            </w:r>
          </w:p>
        </w:tc>
        <w:tc>
          <w:tcPr>
            <w:tcW w:w="1276" w:type="dxa"/>
            <w:tcBorders>
              <w:top w:val="single" w:sz="4" w:space="0" w:color="auto"/>
              <w:left w:val="single" w:sz="4" w:space="0" w:color="auto"/>
              <w:bottom w:val="single" w:sz="4" w:space="0" w:color="auto"/>
              <w:right w:val="single" w:sz="4" w:space="0" w:color="auto"/>
            </w:tcBorders>
          </w:tcPr>
          <w:p w14:paraId="2C7D6B74" w14:textId="09F4F096" w:rsidR="00F3416E" w:rsidRPr="00A80FE4" w:rsidRDefault="00175107" w:rsidP="00F3416E">
            <w:pPr>
              <w:rPr>
                <w:rFonts w:ascii="Times New Roman" w:hAnsi="Times New Roman"/>
                <w:spacing w:val="0"/>
                <w:szCs w:val="24"/>
              </w:rPr>
            </w:pPr>
            <w:r>
              <w:rPr>
                <w:rFonts w:ascii="Times New Roman" w:hAnsi="Times New Roman"/>
                <w:spacing w:val="0"/>
                <w:szCs w:val="24"/>
              </w:rPr>
              <w:t>£  33,479</w:t>
            </w:r>
          </w:p>
        </w:tc>
        <w:tc>
          <w:tcPr>
            <w:tcW w:w="1275" w:type="dxa"/>
            <w:tcBorders>
              <w:top w:val="single" w:sz="4" w:space="0" w:color="auto"/>
              <w:left w:val="single" w:sz="4" w:space="0" w:color="auto"/>
              <w:bottom w:val="single" w:sz="4" w:space="0" w:color="auto"/>
              <w:right w:val="single" w:sz="4" w:space="0" w:color="auto"/>
            </w:tcBorders>
          </w:tcPr>
          <w:p w14:paraId="628FFDE8" w14:textId="60BC3C02" w:rsidR="00F3416E" w:rsidRPr="00A80FE4" w:rsidRDefault="00175107" w:rsidP="00F3416E">
            <w:pPr>
              <w:rPr>
                <w:rFonts w:ascii="Times New Roman" w:hAnsi="Times New Roman"/>
                <w:spacing w:val="0"/>
                <w:szCs w:val="24"/>
              </w:rPr>
            </w:pPr>
            <w:r>
              <w:rPr>
                <w:rFonts w:ascii="Times New Roman" w:hAnsi="Times New Roman"/>
                <w:spacing w:val="0"/>
                <w:szCs w:val="24"/>
              </w:rPr>
              <w:t>£</w:t>
            </w:r>
            <w:r w:rsidR="007C4512">
              <w:rPr>
                <w:rFonts w:ascii="Times New Roman" w:hAnsi="Times New Roman"/>
                <w:spacing w:val="0"/>
                <w:szCs w:val="24"/>
              </w:rPr>
              <w:t xml:space="preserve">  </w:t>
            </w:r>
            <w:r>
              <w:rPr>
                <w:rFonts w:ascii="Times New Roman" w:hAnsi="Times New Roman"/>
                <w:spacing w:val="0"/>
                <w:szCs w:val="24"/>
              </w:rPr>
              <w:t>12,750</w:t>
            </w:r>
          </w:p>
        </w:tc>
      </w:tr>
      <w:tr w:rsidR="000003F4" w:rsidRPr="00A80FE4" w14:paraId="541FB01F" w14:textId="77777777" w:rsidTr="00B2313C">
        <w:tc>
          <w:tcPr>
            <w:tcW w:w="5812" w:type="dxa"/>
            <w:tcBorders>
              <w:top w:val="single" w:sz="4" w:space="0" w:color="auto"/>
              <w:left w:val="single" w:sz="4" w:space="0" w:color="auto"/>
              <w:bottom w:val="single" w:sz="4" w:space="0" w:color="auto"/>
              <w:right w:val="single" w:sz="4" w:space="0" w:color="auto"/>
            </w:tcBorders>
          </w:tcPr>
          <w:p w14:paraId="414196FD" w14:textId="77777777" w:rsidR="000003F4" w:rsidRPr="00A80FE4" w:rsidRDefault="000003F4" w:rsidP="00F3416E">
            <w:pPr>
              <w:rPr>
                <w:b/>
                <w:bCs/>
                <w:spacing w:val="0"/>
                <w:szCs w:val="24"/>
              </w:rPr>
            </w:pPr>
          </w:p>
        </w:tc>
        <w:tc>
          <w:tcPr>
            <w:tcW w:w="1276" w:type="dxa"/>
            <w:tcBorders>
              <w:top w:val="single" w:sz="4" w:space="0" w:color="auto"/>
              <w:left w:val="single" w:sz="4" w:space="0" w:color="auto"/>
              <w:bottom w:val="single" w:sz="4" w:space="0" w:color="auto"/>
              <w:right w:val="single" w:sz="4" w:space="0" w:color="auto"/>
            </w:tcBorders>
          </w:tcPr>
          <w:p w14:paraId="0C4A3F5B" w14:textId="77777777" w:rsidR="000003F4" w:rsidRPr="00A80FE4" w:rsidRDefault="000003F4" w:rsidP="00F3416E">
            <w:pPr>
              <w:rPr>
                <w:b/>
                <w:bCs/>
                <w:spacing w:val="0"/>
                <w:szCs w:val="24"/>
              </w:rPr>
            </w:pPr>
          </w:p>
        </w:tc>
        <w:tc>
          <w:tcPr>
            <w:tcW w:w="1275" w:type="dxa"/>
            <w:tcBorders>
              <w:top w:val="single" w:sz="4" w:space="0" w:color="auto"/>
              <w:left w:val="single" w:sz="4" w:space="0" w:color="auto"/>
              <w:bottom w:val="single" w:sz="4" w:space="0" w:color="auto"/>
              <w:right w:val="single" w:sz="4" w:space="0" w:color="auto"/>
            </w:tcBorders>
          </w:tcPr>
          <w:p w14:paraId="176D3890" w14:textId="77777777" w:rsidR="000003F4" w:rsidRPr="00A80FE4" w:rsidRDefault="000003F4" w:rsidP="00F3416E">
            <w:pPr>
              <w:rPr>
                <w:b/>
                <w:bCs/>
                <w:spacing w:val="0"/>
                <w:szCs w:val="24"/>
              </w:rPr>
            </w:pPr>
          </w:p>
        </w:tc>
      </w:tr>
      <w:tr w:rsidR="00F3416E" w:rsidRPr="00A80FE4" w14:paraId="4731F2AE" w14:textId="77777777" w:rsidTr="00B2313C">
        <w:trPr>
          <w:trHeight w:val="435"/>
        </w:trPr>
        <w:tc>
          <w:tcPr>
            <w:tcW w:w="5812" w:type="dxa"/>
            <w:tcBorders>
              <w:top w:val="single" w:sz="4" w:space="0" w:color="auto"/>
              <w:left w:val="single" w:sz="4" w:space="0" w:color="auto"/>
              <w:bottom w:val="single" w:sz="4" w:space="0" w:color="auto"/>
              <w:right w:val="single" w:sz="4" w:space="0" w:color="auto"/>
            </w:tcBorders>
            <w:hideMark/>
          </w:tcPr>
          <w:p w14:paraId="256B157A" w14:textId="0DA45B2E" w:rsidR="00F3416E" w:rsidRPr="00A80FE4" w:rsidRDefault="000003F4" w:rsidP="00F3416E">
            <w:pPr>
              <w:rPr>
                <w:rFonts w:ascii="Times New Roman" w:hAnsi="Times New Roman"/>
                <w:b/>
                <w:bCs/>
                <w:spacing w:val="0"/>
                <w:szCs w:val="24"/>
              </w:rPr>
            </w:pPr>
            <w:r>
              <w:rPr>
                <w:rFonts w:ascii="Times New Roman" w:hAnsi="Times New Roman"/>
                <w:b/>
                <w:bCs/>
                <w:spacing w:val="0"/>
                <w:szCs w:val="24"/>
              </w:rPr>
              <w:t>Total</w:t>
            </w:r>
          </w:p>
          <w:p w14:paraId="02718D60" w14:textId="61CA3549" w:rsidR="00F3416E" w:rsidRPr="00A80FE4" w:rsidRDefault="00F3416E" w:rsidP="00F3416E">
            <w:pPr>
              <w:rPr>
                <w:rFonts w:ascii="Times New Roman" w:hAnsi="Times New Roman"/>
                <w:b/>
                <w:bCs/>
                <w:spacing w:val="0"/>
                <w:szCs w:val="24"/>
              </w:rPr>
            </w:pPr>
          </w:p>
        </w:tc>
        <w:tc>
          <w:tcPr>
            <w:tcW w:w="1276" w:type="dxa"/>
            <w:tcBorders>
              <w:top w:val="single" w:sz="4" w:space="0" w:color="auto"/>
              <w:left w:val="single" w:sz="4" w:space="0" w:color="auto"/>
              <w:bottom w:val="single" w:sz="4" w:space="0" w:color="auto"/>
              <w:right w:val="single" w:sz="4" w:space="0" w:color="auto"/>
            </w:tcBorders>
            <w:hideMark/>
          </w:tcPr>
          <w:p w14:paraId="59494BD4" w14:textId="2778D06F" w:rsidR="00F3416E" w:rsidRPr="00A80FE4" w:rsidRDefault="00F3416E" w:rsidP="00F3416E">
            <w:pPr>
              <w:rPr>
                <w:rFonts w:ascii="Times New Roman" w:hAnsi="Times New Roman"/>
                <w:b/>
                <w:bCs/>
                <w:spacing w:val="0"/>
                <w:szCs w:val="24"/>
              </w:rPr>
            </w:pPr>
            <w:r w:rsidRPr="00A80FE4">
              <w:rPr>
                <w:rFonts w:ascii="Times New Roman" w:hAnsi="Times New Roman"/>
                <w:b/>
                <w:bCs/>
                <w:spacing w:val="0"/>
                <w:szCs w:val="24"/>
              </w:rPr>
              <w:t>£</w:t>
            </w:r>
            <w:r w:rsidR="00755E1A">
              <w:rPr>
                <w:rFonts w:ascii="Times New Roman" w:hAnsi="Times New Roman"/>
                <w:b/>
                <w:bCs/>
                <w:spacing w:val="0"/>
                <w:szCs w:val="24"/>
              </w:rPr>
              <w:t>897</w:t>
            </w:r>
            <w:r w:rsidR="00FC7A07">
              <w:rPr>
                <w:rFonts w:ascii="Times New Roman" w:hAnsi="Times New Roman"/>
                <w:b/>
                <w:bCs/>
                <w:spacing w:val="0"/>
                <w:szCs w:val="24"/>
              </w:rPr>
              <w:t>,</w:t>
            </w:r>
            <w:r w:rsidR="0078092F">
              <w:rPr>
                <w:rFonts w:ascii="Times New Roman" w:hAnsi="Times New Roman"/>
                <w:b/>
                <w:bCs/>
                <w:spacing w:val="0"/>
                <w:szCs w:val="24"/>
              </w:rPr>
              <w:t>957</w:t>
            </w:r>
          </w:p>
        </w:tc>
        <w:tc>
          <w:tcPr>
            <w:tcW w:w="1275" w:type="dxa"/>
            <w:tcBorders>
              <w:top w:val="single" w:sz="4" w:space="0" w:color="auto"/>
              <w:left w:val="single" w:sz="4" w:space="0" w:color="auto"/>
              <w:bottom w:val="single" w:sz="4" w:space="0" w:color="auto"/>
              <w:right w:val="single" w:sz="4" w:space="0" w:color="auto"/>
            </w:tcBorders>
            <w:hideMark/>
          </w:tcPr>
          <w:p w14:paraId="6BEEE772" w14:textId="331E2A22" w:rsidR="00F3416E" w:rsidRPr="00A80FE4" w:rsidRDefault="00F3416E" w:rsidP="00F3416E">
            <w:pPr>
              <w:rPr>
                <w:rFonts w:ascii="Times New Roman" w:hAnsi="Times New Roman"/>
                <w:b/>
                <w:bCs/>
                <w:spacing w:val="0"/>
                <w:szCs w:val="24"/>
              </w:rPr>
            </w:pPr>
            <w:r w:rsidRPr="00A80FE4">
              <w:rPr>
                <w:rFonts w:ascii="Times New Roman" w:hAnsi="Times New Roman"/>
                <w:b/>
                <w:bCs/>
                <w:spacing w:val="0"/>
                <w:szCs w:val="24"/>
              </w:rPr>
              <w:t>£</w:t>
            </w:r>
            <w:r w:rsidR="00A37273">
              <w:rPr>
                <w:rFonts w:ascii="Times New Roman" w:hAnsi="Times New Roman"/>
                <w:b/>
                <w:bCs/>
                <w:spacing w:val="0"/>
                <w:szCs w:val="24"/>
              </w:rPr>
              <w:t>2</w:t>
            </w:r>
            <w:r w:rsidR="0078092F">
              <w:rPr>
                <w:rFonts w:ascii="Times New Roman" w:hAnsi="Times New Roman"/>
                <w:b/>
                <w:bCs/>
                <w:spacing w:val="0"/>
                <w:szCs w:val="24"/>
              </w:rPr>
              <w:t>9</w:t>
            </w:r>
            <w:r w:rsidR="00A37273">
              <w:rPr>
                <w:rFonts w:ascii="Times New Roman" w:hAnsi="Times New Roman"/>
                <w:b/>
                <w:bCs/>
                <w:spacing w:val="0"/>
                <w:szCs w:val="24"/>
              </w:rPr>
              <w:t>7,534</w:t>
            </w:r>
          </w:p>
        </w:tc>
      </w:tr>
    </w:tbl>
    <w:p w14:paraId="20F8681C" w14:textId="202CFB97" w:rsidR="00531138" w:rsidRPr="00531138" w:rsidRDefault="00E36C32" w:rsidP="00F07598">
      <w:pPr>
        <w:pStyle w:val="Normal2"/>
        <w:spacing w:after="360"/>
        <w:ind w:left="567" w:hanging="556"/>
        <w:jc w:val="left"/>
        <w:rPr>
          <w:szCs w:val="24"/>
        </w:rPr>
      </w:pPr>
      <w:r w:rsidRPr="00E36C32">
        <w:rPr>
          <w:szCs w:val="24"/>
        </w:rPr>
        <w:br/>
      </w:r>
      <w:r w:rsidR="00531138">
        <w:rPr>
          <w:szCs w:val="24"/>
        </w:rPr>
        <w:t xml:space="preserve">I </w:t>
      </w:r>
      <w:r w:rsidR="007021A3" w:rsidRPr="00531138">
        <w:rPr>
          <w:szCs w:val="24"/>
        </w:rPr>
        <w:t xml:space="preserve">now turn to the individual aspects </w:t>
      </w:r>
      <w:r w:rsidR="00531138" w:rsidRPr="00531138">
        <w:rPr>
          <w:szCs w:val="24"/>
        </w:rPr>
        <w:t>starting with the most contentious issue.</w:t>
      </w:r>
    </w:p>
    <w:p w14:paraId="5C57157D" w14:textId="3DE79838" w:rsidR="00E7613F" w:rsidRPr="00F6552C" w:rsidRDefault="007D5101" w:rsidP="00E7613F">
      <w:pPr>
        <w:pStyle w:val="Normal2"/>
        <w:spacing w:after="360"/>
        <w:jc w:val="left"/>
        <w:rPr>
          <w:b/>
          <w:bCs/>
          <w:szCs w:val="24"/>
        </w:rPr>
      </w:pPr>
      <w:r w:rsidRPr="00F6552C">
        <w:rPr>
          <w:b/>
          <w:bCs/>
          <w:szCs w:val="24"/>
        </w:rPr>
        <w:t>The Grazing Land</w:t>
      </w:r>
    </w:p>
    <w:p w14:paraId="78C76373" w14:textId="453B9B0D" w:rsidR="00B84E1B" w:rsidRPr="00B84E1B" w:rsidRDefault="004E0901" w:rsidP="00F07598">
      <w:pPr>
        <w:pStyle w:val="Normal2"/>
        <w:numPr>
          <w:ilvl w:val="0"/>
          <w:numId w:val="3"/>
        </w:numPr>
        <w:spacing w:after="360"/>
        <w:ind w:left="567" w:hanging="567"/>
        <w:rPr>
          <w:szCs w:val="24"/>
        </w:rPr>
      </w:pPr>
      <w:r>
        <w:rPr>
          <w:szCs w:val="24"/>
        </w:rPr>
        <w:t xml:space="preserve">The grazing land is situated in the </w:t>
      </w:r>
      <w:r w:rsidR="00466518">
        <w:rPr>
          <w:szCs w:val="24"/>
        </w:rPr>
        <w:t>green belt and b</w:t>
      </w:r>
      <w:r w:rsidR="00B84E1B" w:rsidRPr="00B84E1B">
        <w:rPr>
          <w:szCs w:val="24"/>
        </w:rPr>
        <w:t xml:space="preserve">efore I consider </w:t>
      </w:r>
      <w:r w:rsidR="00466518">
        <w:rPr>
          <w:szCs w:val="24"/>
        </w:rPr>
        <w:t>its</w:t>
      </w:r>
      <w:r w:rsidR="00466518" w:rsidRPr="00B84E1B">
        <w:rPr>
          <w:szCs w:val="24"/>
        </w:rPr>
        <w:t xml:space="preserve"> </w:t>
      </w:r>
      <w:r w:rsidR="00B84E1B" w:rsidRPr="00B84E1B">
        <w:rPr>
          <w:szCs w:val="24"/>
        </w:rPr>
        <w:t xml:space="preserve">value it is necessary to examine the planning context, specifically in relation to development in the </w:t>
      </w:r>
      <w:r w:rsidR="00DE02AA">
        <w:rPr>
          <w:szCs w:val="24"/>
        </w:rPr>
        <w:t>g</w:t>
      </w:r>
      <w:r w:rsidR="00B84E1B" w:rsidRPr="00B84E1B">
        <w:rPr>
          <w:szCs w:val="24"/>
        </w:rPr>
        <w:t xml:space="preserve">reen </w:t>
      </w:r>
      <w:r w:rsidR="00DE02AA">
        <w:rPr>
          <w:szCs w:val="24"/>
        </w:rPr>
        <w:t>b</w:t>
      </w:r>
      <w:r w:rsidR="00B84E1B" w:rsidRPr="00B84E1B">
        <w:rPr>
          <w:szCs w:val="24"/>
        </w:rPr>
        <w:t>elt.</w:t>
      </w:r>
      <w:r w:rsidR="00684800">
        <w:rPr>
          <w:szCs w:val="24"/>
        </w:rPr>
        <w:t xml:space="preserve">  </w:t>
      </w:r>
    </w:p>
    <w:p w14:paraId="422F8BF8" w14:textId="36EEAD2E" w:rsidR="008F7373" w:rsidRDefault="008F7373" w:rsidP="002C1D27">
      <w:pPr>
        <w:pStyle w:val="Normal2"/>
        <w:spacing w:after="360"/>
        <w:rPr>
          <w:i/>
          <w:iCs/>
          <w:szCs w:val="24"/>
        </w:rPr>
      </w:pPr>
      <w:r w:rsidRPr="008F7373">
        <w:rPr>
          <w:i/>
          <w:iCs/>
          <w:szCs w:val="24"/>
        </w:rPr>
        <w:t>Planning Policy Position as at the Valuation Date</w:t>
      </w:r>
    </w:p>
    <w:p w14:paraId="588AA61D" w14:textId="45A7B259" w:rsidR="00F6649F" w:rsidRPr="00CF74DD" w:rsidRDefault="008D40FF" w:rsidP="00374B30">
      <w:pPr>
        <w:pStyle w:val="Normal2"/>
        <w:spacing w:after="360"/>
        <w:ind w:left="567" w:hanging="567"/>
        <w:rPr>
          <w:i/>
          <w:iCs/>
          <w:szCs w:val="24"/>
        </w:rPr>
      </w:pPr>
      <w:r>
        <w:rPr>
          <w:szCs w:val="24"/>
        </w:rPr>
        <w:t xml:space="preserve">16. </w:t>
      </w:r>
      <w:r w:rsidR="00552785">
        <w:rPr>
          <w:szCs w:val="24"/>
        </w:rPr>
        <w:t xml:space="preserve">  </w:t>
      </w:r>
      <w:r w:rsidR="00552785">
        <w:rPr>
          <w:szCs w:val="24"/>
        </w:rPr>
        <w:tab/>
      </w:r>
      <w:r w:rsidR="00DB0649" w:rsidRPr="00CF74DD">
        <w:rPr>
          <w:szCs w:val="24"/>
        </w:rPr>
        <w:t xml:space="preserve">At the valuation date, </w:t>
      </w:r>
      <w:bookmarkStart w:id="1" w:name="_Hlk84259812"/>
      <w:r w:rsidR="00DB0649" w:rsidRPr="00CF74DD">
        <w:rPr>
          <w:szCs w:val="24"/>
        </w:rPr>
        <w:t xml:space="preserve">the Development Plan consisted of saved policies of the 2006 Stockport Unitary Development Plan Review (‘UDP’), together with the 2011 Stockport Core Strategy (2011). </w:t>
      </w:r>
      <w:r w:rsidR="000602F6" w:rsidRPr="00CF74DD">
        <w:rPr>
          <w:szCs w:val="24"/>
        </w:rPr>
        <w:t xml:space="preserve">  </w:t>
      </w:r>
      <w:r w:rsidR="0082508E" w:rsidRPr="00CF74DD">
        <w:rPr>
          <w:szCs w:val="24"/>
        </w:rPr>
        <w:t>The National Planning Policy Framework (NPPF) 2012 is also relevant.</w:t>
      </w:r>
      <w:bookmarkEnd w:id="1"/>
    </w:p>
    <w:p w14:paraId="20321D78" w14:textId="3DA158BD" w:rsidR="008614E6" w:rsidRDefault="008D1F46" w:rsidP="008614E6">
      <w:pPr>
        <w:pStyle w:val="Normal2"/>
        <w:spacing w:after="360"/>
        <w:jc w:val="left"/>
        <w:rPr>
          <w:i/>
          <w:iCs/>
          <w:szCs w:val="24"/>
        </w:rPr>
      </w:pPr>
      <w:r>
        <w:rPr>
          <w:i/>
          <w:iCs/>
          <w:szCs w:val="24"/>
        </w:rPr>
        <w:t xml:space="preserve">The </w:t>
      </w:r>
      <w:r w:rsidRPr="00595099">
        <w:rPr>
          <w:i/>
          <w:iCs/>
          <w:szCs w:val="24"/>
        </w:rPr>
        <w:t>Development Plan</w:t>
      </w:r>
      <w:r>
        <w:rPr>
          <w:i/>
          <w:iCs/>
          <w:szCs w:val="24"/>
        </w:rPr>
        <w:t xml:space="preserve"> (</w:t>
      </w:r>
      <w:r w:rsidRPr="00595099">
        <w:rPr>
          <w:i/>
          <w:iCs/>
          <w:szCs w:val="24"/>
        </w:rPr>
        <w:t>saved policies of the 2006 Stockport Unitary Development Plan Review (‘UDP’</w:t>
      </w:r>
      <w:r>
        <w:rPr>
          <w:i/>
          <w:iCs/>
          <w:szCs w:val="24"/>
        </w:rPr>
        <w:t>) and the</w:t>
      </w:r>
      <w:r w:rsidRPr="00595099">
        <w:rPr>
          <w:i/>
          <w:iCs/>
          <w:szCs w:val="24"/>
        </w:rPr>
        <w:t xml:space="preserve"> 2011 Stockport Core Strategy (2011).  </w:t>
      </w:r>
    </w:p>
    <w:p w14:paraId="3B1377EE" w14:textId="129DD765" w:rsidR="008D1F46" w:rsidRPr="00805FEC" w:rsidRDefault="008D1F46" w:rsidP="00DB3931">
      <w:pPr>
        <w:pStyle w:val="Normal2"/>
        <w:numPr>
          <w:ilvl w:val="0"/>
          <w:numId w:val="33"/>
        </w:numPr>
        <w:spacing w:after="360"/>
        <w:ind w:left="567" w:hanging="567"/>
        <w:jc w:val="left"/>
        <w:rPr>
          <w:i/>
          <w:iCs/>
          <w:szCs w:val="24"/>
        </w:rPr>
      </w:pPr>
      <w:r>
        <w:rPr>
          <w:szCs w:val="24"/>
        </w:rPr>
        <w:t xml:space="preserve">The </w:t>
      </w:r>
      <w:r w:rsidRPr="00DD4F30">
        <w:rPr>
          <w:szCs w:val="24"/>
        </w:rPr>
        <w:t>C</w:t>
      </w:r>
      <w:r>
        <w:rPr>
          <w:szCs w:val="24"/>
        </w:rPr>
        <w:t>ore</w:t>
      </w:r>
      <w:r w:rsidRPr="00DD4F30">
        <w:rPr>
          <w:szCs w:val="24"/>
        </w:rPr>
        <w:t xml:space="preserve"> </w:t>
      </w:r>
      <w:r>
        <w:rPr>
          <w:szCs w:val="24"/>
        </w:rPr>
        <w:t>S</w:t>
      </w:r>
      <w:r w:rsidRPr="00DD4F30">
        <w:rPr>
          <w:szCs w:val="24"/>
        </w:rPr>
        <w:t xml:space="preserve">trategy </w:t>
      </w:r>
      <w:r>
        <w:rPr>
          <w:szCs w:val="24"/>
        </w:rPr>
        <w:t xml:space="preserve">of the </w:t>
      </w:r>
      <w:r w:rsidRPr="00DD4F30">
        <w:rPr>
          <w:szCs w:val="24"/>
        </w:rPr>
        <w:t>local planning authority</w:t>
      </w:r>
      <w:r>
        <w:rPr>
          <w:szCs w:val="24"/>
        </w:rPr>
        <w:t xml:space="preserve"> (LPA)</w:t>
      </w:r>
      <w:r w:rsidRPr="00DD4F30">
        <w:rPr>
          <w:szCs w:val="24"/>
        </w:rPr>
        <w:t xml:space="preserve"> </w:t>
      </w:r>
      <w:r>
        <w:rPr>
          <w:szCs w:val="24"/>
        </w:rPr>
        <w:t xml:space="preserve">is contained in Part One of the Local Plan.  This sets out the </w:t>
      </w:r>
      <w:r w:rsidRPr="007A21BA">
        <w:rPr>
          <w:szCs w:val="24"/>
        </w:rPr>
        <w:t xml:space="preserve">strategic policies of the </w:t>
      </w:r>
      <w:r>
        <w:rPr>
          <w:szCs w:val="24"/>
        </w:rPr>
        <w:t>B</w:t>
      </w:r>
      <w:r w:rsidRPr="007A21BA">
        <w:rPr>
          <w:szCs w:val="24"/>
        </w:rPr>
        <w:t xml:space="preserve">orough. </w:t>
      </w:r>
      <w:r w:rsidRPr="00533129">
        <w:rPr>
          <w:szCs w:val="24"/>
        </w:rPr>
        <w:t xml:space="preserve">It was intended </w:t>
      </w:r>
      <w:r w:rsidRPr="009A39E2">
        <w:rPr>
          <w:szCs w:val="24"/>
        </w:rPr>
        <w:t xml:space="preserve">this document </w:t>
      </w:r>
      <w:r>
        <w:rPr>
          <w:szCs w:val="24"/>
        </w:rPr>
        <w:t>would</w:t>
      </w:r>
      <w:r w:rsidRPr="009A39E2">
        <w:rPr>
          <w:szCs w:val="24"/>
        </w:rPr>
        <w:t xml:space="preserve"> be supplemented by the </w:t>
      </w:r>
      <w:r>
        <w:rPr>
          <w:szCs w:val="24"/>
        </w:rPr>
        <w:t>L</w:t>
      </w:r>
      <w:r w:rsidRPr="009A39E2">
        <w:rPr>
          <w:szCs w:val="24"/>
        </w:rPr>
        <w:t xml:space="preserve">ocal </w:t>
      </w:r>
      <w:r>
        <w:rPr>
          <w:szCs w:val="24"/>
        </w:rPr>
        <w:t>P</w:t>
      </w:r>
      <w:r w:rsidRPr="009A39E2">
        <w:rPr>
          <w:szCs w:val="24"/>
        </w:rPr>
        <w:t xml:space="preserve">lan Part </w:t>
      </w:r>
      <w:r>
        <w:rPr>
          <w:szCs w:val="24"/>
        </w:rPr>
        <w:t>Two</w:t>
      </w:r>
      <w:r w:rsidRPr="009A39E2">
        <w:rPr>
          <w:szCs w:val="24"/>
        </w:rPr>
        <w:t xml:space="preserve"> </w:t>
      </w:r>
      <w:r>
        <w:rPr>
          <w:szCs w:val="24"/>
        </w:rPr>
        <w:t>S</w:t>
      </w:r>
      <w:r w:rsidRPr="009A39E2">
        <w:rPr>
          <w:szCs w:val="24"/>
        </w:rPr>
        <w:t xml:space="preserve">ite </w:t>
      </w:r>
      <w:r>
        <w:rPr>
          <w:szCs w:val="24"/>
        </w:rPr>
        <w:t>D</w:t>
      </w:r>
      <w:r w:rsidRPr="009A39E2">
        <w:rPr>
          <w:szCs w:val="24"/>
        </w:rPr>
        <w:t xml:space="preserve">evelopment </w:t>
      </w:r>
      <w:r>
        <w:rPr>
          <w:szCs w:val="24"/>
        </w:rPr>
        <w:t>P</w:t>
      </w:r>
      <w:r w:rsidRPr="009A39E2">
        <w:rPr>
          <w:szCs w:val="24"/>
        </w:rPr>
        <w:t xml:space="preserve">lan </w:t>
      </w:r>
      <w:r>
        <w:rPr>
          <w:szCs w:val="24"/>
        </w:rPr>
        <w:t>D</w:t>
      </w:r>
      <w:r w:rsidRPr="009A39E2">
        <w:rPr>
          <w:szCs w:val="24"/>
        </w:rPr>
        <w:t xml:space="preserve">ocument, </w:t>
      </w:r>
      <w:r>
        <w:rPr>
          <w:szCs w:val="24"/>
        </w:rPr>
        <w:t>which would have identified sites for development.  However, at the Valuation Date this document had become delayed and subsequently agreement was reached amongst the ten Greater Manchester Planning Authorities to collaborate on strategic planning</w:t>
      </w:r>
      <w:r w:rsidR="00844986">
        <w:rPr>
          <w:szCs w:val="24"/>
        </w:rPr>
        <w:t xml:space="preserve"> </w:t>
      </w:r>
      <w:r w:rsidR="00833F22">
        <w:rPr>
          <w:szCs w:val="24"/>
        </w:rPr>
        <w:t xml:space="preserve">by participation in the </w:t>
      </w:r>
      <w:r w:rsidR="00833F22" w:rsidRPr="00833F22">
        <w:rPr>
          <w:szCs w:val="24"/>
        </w:rPr>
        <w:t>Greater Manchester Spatial Framework (GMSF)</w:t>
      </w:r>
      <w:r w:rsidRPr="00833F22">
        <w:rPr>
          <w:szCs w:val="24"/>
        </w:rPr>
        <w:t>.</w:t>
      </w:r>
      <w:r>
        <w:rPr>
          <w:szCs w:val="24"/>
        </w:rPr>
        <w:t xml:space="preserve">  As a </w:t>
      </w:r>
      <w:r w:rsidR="00D318A6">
        <w:rPr>
          <w:szCs w:val="24"/>
        </w:rPr>
        <w:t>consequence,</w:t>
      </w:r>
      <w:r>
        <w:rPr>
          <w:szCs w:val="24"/>
        </w:rPr>
        <w:t xml:space="preserve"> no comprehensive </w:t>
      </w:r>
      <w:r w:rsidR="00AA16EE">
        <w:rPr>
          <w:szCs w:val="24"/>
        </w:rPr>
        <w:t>g</w:t>
      </w:r>
      <w:r>
        <w:rPr>
          <w:szCs w:val="24"/>
        </w:rPr>
        <w:t xml:space="preserve">reen </w:t>
      </w:r>
      <w:r w:rsidR="00AA16EE">
        <w:rPr>
          <w:szCs w:val="24"/>
        </w:rPr>
        <w:t>b</w:t>
      </w:r>
      <w:r>
        <w:rPr>
          <w:szCs w:val="24"/>
        </w:rPr>
        <w:t>elt review was undertaken</w:t>
      </w:r>
      <w:r w:rsidRPr="000733FA">
        <w:rPr>
          <w:szCs w:val="24"/>
        </w:rPr>
        <w:t xml:space="preserve"> </w:t>
      </w:r>
      <w:r>
        <w:rPr>
          <w:szCs w:val="24"/>
        </w:rPr>
        <w:t xml:space="preserve">by the LPA as part of </w:t>
      </w:r>
      <w:r>
        <w:rPr>
          <w:szCs w:val="24"/>
        </w:rPr>
        <w:lastRenderedPageBreak/>
        <w:t xml:space="preserve">the Core Strategy or the Allocations DPD, and no appraisal of the </w:t>
      </w:r>
      <w:r w:rsidR="00AA16EE">
        <w:rPr>
          <w:szCs w:val="24"/>
        </w:rPr>
        <w:t>g</w:t>
      </w:r>
      <w:r>
        <w:rPr>
          <w:szCs w:val="24"/>
        </w:rPr>
        <w:t xml:space="preserve">reen </w:t>
      </w:r>
      <w:r w:rsidR="00AA16EE">
        <w:rPr>
          <w:szCs w:val="24"/>
        </w:rPr>
        <w:t>b</w:t>
      </w:r>
      <w:r>
        <w:rPr>
          <w:szCs w:val="24"/>
        </w:rPr>
        <w:t xml:space="preserve">elt by the LPA is available to inform the Tribunal’s decision in relation to this site. </w:t>
      </w:r>
    </w:p>
    <w:p w14:paraId="5E546B5B" w14:textId="77777777" w:rsidR="008812B6" w:rsidRDefault="008812B6" w:rsidP="008812B6">
      <w:pPr>
        <w:pStyle w:val="Normal2"/>
        <w:spacing w:after="360"/>
        <w:jc w:val="left"/>
        <w:rPr>
          <w:i/>
          <w:iCs/>
          <w:szCs w:val="24"/>
        </w:rPr>
      </w:pPr>
      <w:r>
        <w:rPr>
          <w:i/>
          <w:iCs/>
          <w:szCs w:val="24"/>
        </w:rPr>
        <w:t>Greater Manchester Spatial Framework (GMSF) – Green Belt Assessment (July 2016)</w:t>
      </w:r>
      <w:r w:rsidRPr="00595099">
        <w:rPr>
          <w:i/>
          <w:iCs/>
          <w:szCs w:val="24"/>
        </w:rPr>
        <w:t xml:space="preserve"> </w:t>
      </w:r>
    </w:p>
    <w:p w14:paraId="2E8F1EAD" w14:textId="3E8D3966" w:rsidR="00F32729" w:rsidRDefault="00566D38" w:rsidP="00F80331">
      <w:pPr>
        <w:pStyle w:val="Normal2"/>
        <w:spacing w:after="360"/>
        <w:ind w:left="567" w:hanging="567"/>
        <w:rPr>
          <w:szCs w:val="24"/>
        </w:rPr>
      </w:pPr>
      <w:r>
        <w:rPr>
          <w:szCs w:val="24"/>
        </w:rPr>
        <w:t>18.</w:t>
      </w:r>
      <w:r>
        <w:rPr>
          <w:szCs w:val="24"/>
        </w:rPr>
        <w:tab/>
      </w:r>
      <w:r w:rsidR="008812B6">
        <w:rPr>
          <w:szCs w:val="24"/>
        </w:rPr>
        <w:t xml:space="preserve">Without a green belt appraisal undertaken by the LPA it is instructive to examine the GMSF, notwithstanding that it was not completed until 2016, some 16 months after the valuation date.  It is worth noting that there was no change to the green belt between these two dates.  The GMSF assessed the performance of the green belt against the five purposes set out in paragraph 80 of the NPPF.  </w:t>
      </w:r>
      <w:r w:rsidR="00F32729">
        <w:rPr>
          <w:szCs w:val="24"/>
        </w:rPr>
        <w:t xml:space="preserve"> These are as follows:</w:t>
      </w:r>
    </w:p>
    <w:p w14:paraId="27D5C97D" w14:textId="7CB4E2CD" w:rsidR="002079F9" w:rsidRDefault="00180FC0" w:rsidP="002079F9">
      <w:pPr>
        <w:spacing w:after="120"/>
        <w:ind w:left="567" w:right="567" w:firstLine="284"/>
        <w:jc w:val="both"/>
      </w:pPr>
      <w:r>
        <w:t>“</w:t>
      </w:r>
      <w:r w:rsidR="002079F9">
        <w:t>80.       Green Belt serves five purposes:</w:t>
      </w:r>
    </w:p>
    <w:p w14:paraId="4F9F92AE" w14:textId="77777777" w:rsidR="002079F9" w:rsidRDefault="002079F9" w:rsidP="002079F9">
      <w:pPr>
        <w:pStyle w:val="ListParagraph"/>
        <w:numPr>
          <w:ilvl w:val="2"/>
          <w:numId w:val="30"/>
        </w:numPr>
        <w:spacing w:after="120"/>
        <w:ind w:right="567"/>
        <w:jc w:val="both"/>
      </w:pPr>
      <w:r>
        <w:t>to check the unrestricted sprawl of large built-up areas;</w:t>
      </w:r>
    </w:p>
    <w:p w14:paraId="37CB07FC" w14:textId="77777777" w:rsidR="002079F9" w:rsidRDefault="002079F9" w:rsidP="002079F9">
      <w:pPr>
        <w:pStyle w:val="ListParagraph"/>
        <w:numPr>
          <w:ilvl w:val="2"/>
          <w:numId w:val="30"/>
        </w:numPr>
        <w:spacing w:after="120"/>
        <w:ind w:right="567"/>
        <w:jc w:val="both"/>
      </w:pPr>
      <w:r>
        <w:t>to prevent neighbouring towns merging into one another;</w:t>
      </w:r>
    </w:p>
    <w:p w14:paraId="02FE222C" w14:textId="77777777" w:rsidR="002079F9" w:rsidRDefault="002079F9" w:rsidP="002079F9">
      <w:pPr>
        <w:pStyle w:val="ListParagraph"/>
        <w:numPr>
          <w:ilvl w:val="2"/>
          <w:numId w:val="30"/>
        </w:numPr>
        <w:spacing w:after="120"/>
        <w:ind w:right="567"/>
        <w:jc w:val="both"/>
      </w:pPr>
      <w:r>
        <w:t>to assist in safeguarding the countryside from encroachment;</w:t>
      </w:r>
    </w:p>
    <w:p w14:paraId="6A719A5E" w14:textId="77777777" w:rsidR="002079F9" w:rsidRDefault="002079F9" w:rsidP="002079F9">
      <w:pPr>
        <w:pStyle w:val="ListParagraph"/>
        <w:numPr>
          <w:ilvl w:val="2"/>
          <w:numId w:val="30"/>
        </w:numPr>
        <w:spacing w:after="120"/>
        <w:ind w:right="567"/>
        <w:jc w:val="both"/>
      </w:pPr>
      <w:r>
        <w:t>to preserve the setting and special character of historic towns; and</w:t>
      </w:r>
    </w:p>
    <w:p w14:paraId="233C04AF" w14:textId="77777777" w:rsidR="002079F9" w:rsidRDefault="002079F9" w:rsidP="002079F9">
      <w:pPr>
        <w:pStyle w:val="ListParagraph"/>
        <w:numPr>
          <w:ilvl w:val="2"/>
          <w:numId w:val="30"/>
        </w:numPr>
        <w:spacing w:after="360"/>
        <w:ind w:right="567"/>
        <w:jc w:val="both"/>
      </w:pPr>
      <w:r>
        <w:t>to assist in urban regeneration, by encouraging the recycling of derelict and other urban land.”</w:t>
      </w:r>
    </w:p>
    <w:p w14:paraId="19F63E4F" w14:textId="17D89FF2" w:rsidR="008812B6" w:rsidRDefault="00566D38" w:rsidP="009A5AEC">
      <w:pPr>
        <w:pStyle w:val="Normal2"/>
        <w:spacing w:after="360"/>
        <w:ind w:left="567" w:hanging="567"/>
        <w:rPr>
          <w:szCs w:val="24"/>
        </w:rPr>
      </w:pPr>
      <w:r>
        <w:rPr>
          <w:szCs w:val="24"/>
        </w:rPr>
        <w:t>19.</w:t>
      </w:r>
      <w:r>
        <w:rPr>
          <w:szCs w:val="24"/>
        </w:rPr>
        <w:tab/>
      </w:r>
      <w:r w:rsidR="008812B6">
        <w:rPr>
          <w:szCs w:val="24"/>
        </w:rPr>
        <w:t>The GMSF was conducted in the ‘real world’ rather than in the ‘no-scheme world’ context</w:t>
      </w:r>
      <w:r w:rsidR="008614A2">
        <w:rPr>
          <w:szCs w:val="24"/>
        </w:rPr>
        <w:t xml:space="preserve">.   The </w:t>
      </w:r>
      <w:r w:rsidR="00930ED1">
        <w:rPr>
          <w:szCs w:val="24"/>
        </w:rPr>
        <w:t xml:space="preserve">grazing land is contained within a larger parcel </w:t>
      </w:r>
      <w:r w:rsidR="004B4D0C">
        <w:rPr>
          <w:szCs w:val="24"/>
        </w:rPr>
        <w:t>identified as S</w:t>
      </w:r>
      <w:r w:rsidR="00932C7A">
        <w:rPr>
          <w:szCs w:val="24"/>
        </w:rPr>
        <w:t>P</w:t>
      </w:r>
      <w:r w:rsidR="004B4D0C">
        <w:rPr>
          <w:szCs w:val="24"/>
        </w:rPr>
        <w:t>68</w:t>
      </w:r>
      <w:r w:rsidR="008812B6">
        <w:rPr>
          <w:szCs w:val="24"/>
        </w:rPr>
        <w:t xml:space="preserve"> but nevertheless the assessment makes some observations which are informative.  Notably it concludes that: ‘Currently the parcel plays a key role towards checking the unrestricted sprawl of Norbury House and Hazel Grove.’     </w:t>
      </w:r>
    </w:p>
    <w:p w14:paraId="16C1119A" w14:textId="191A0694" w:rsidR="008812B6" w:rsidRDefault="00566D38" w:rsidP="00D726CA">
      <w:pPr>
        <w:pStyle w:val="Normal2"/>
        <w:tabs>
          <w:tab w:val="left" w:pos="709"/>
        </w:tabs>
        <w:spacing w:after="360"/>
        <w:ind w:left="567" w:hanging="567"/>
        <w:rPr>
          <w:szCs w:val="24"/>
        </w:rPr>
      </w:pPr>
      <w:r>
        <w:rPr>
          <w:szCs w:val="24"/>
        </w:rPr>
        <w:t>20.</w:t>
      </w:r>
      <w:r>
        <w:rPr>
          <w:szCs w:val="24"/>
        </w:rPr>
        <w:tab/>
      </w:r>
      <w:r w:rsidR="008812B6">
        <w:rPr>
          <w:szCs w:val="24"/>
        </w:rPr>
        <w:t xml:space="preserve">In connection with </w:t>
      </w:r>
      <w:r w:rsidR="00DE6F0E">
        <w:rPr>
          <w:szCs w:val="24"/>
        </w:rPr>
        <w:t>the second NPPF purp</w:t>
      </w:r>
      <w:r w:rsidR="009339BD">
        <w:rPr>
          <w:szCs w:val="24"/>
        </w:rPr>
        <w:t>ose</w:t>
      </w:r>
      <w:r w:rsidR="008812B6">
        <w:rPr>
          <w:szCs w:val="24"/>
        </w:rPr>
        <w:t xml:space="preserve"> the Framework says that: ‘The p</w:t>
      </w:r>
      <w:r w:rsidR="008812B6" w:rsidRPr="00EF0D09">
        <w:rPr>
          <w:szCs w:val="24"/>
        </w:rPr>
        <w:t xml:space="preserve">arcel lies between </w:t>
      </w:r>
      <w:r w:rsidR="008812B6">
        <w:rPr>
          <w:szCs w:val="24"/>
        </w:rPr>
        <w:t>Poynton</w:t>
      </w:r>
      <w:r w:rsidR="008812B6" w:rsidRPr="00EF0D09">
        <w:rPr>
          <w:szCs w:val="24"/>
        </w:rPr>
        <w:t xml:space="preserve"> to the </w:t>
      </w:r>
      <w:r w:rsidR="008812B6">
        <w:rPr>
          <w:szCs w:val="24"/>
        </w:rPr>
        <w:t>s</w:t>
      </w:r>
      <w:r w:rsidR="008812B6" w:rsidRPr="00EF0D09">
        <w:rPr>
          <w:szCs w:val="24"/>
        </w:rPr>
        <w:t>outh a</w:t>
      </w:r>
      <w:r w:rsidR="008812B6">
        <w:rPr>
          <w:szCs w:val="24"/>
        </w:rPr>
        <w:t>nd</w:t>
      </w:r>
      <w:r w:rsidR="008812B6" w:rsidRPr="00EF0D09">
        <w:rPr>
          <w:szCs w:val="24"/>
        </w:rPr>
        <w:t xml:space="preserve"> Hazel Grove to the north. These are in close proximity of each other across the parcel</w:t>
      </w:r>
      <w:r w:rsidR="008812B6">
        <w:rPr>
          <w:szCs w:val="24"/>
        </w:rPr>
        <w:t>.</w:t>
      </w:r>
      <w:r w:rsidR="008812B6" w:rsidRPr="00EF0D09">
        <w:rPr>
          <w:szCs w:val="24"/>
        </w:rPr>
        <w:t xml:space="preserve"> </w:t>
      </w:r>
      <w:r w:rsidR="008812B6">
        <w:rPr>
          <w:szCs w:val="24"/>
        </w:rPr>
        <w:t>T</w:t>
      </w:r>
      <w:r w:rsidR="008812B6" w:rsidRPr="00EF0D09">
        <w:rPr>
          <w:szCs w:val="24"/>
        </w:rPr>
        <w:t xml:space="preserve">he parcel forms </w:t>
      </w:r>
      <w:r w:rsidR="008812B6">
        <w:rPr>
          <w:szCs w:val="24"/>
        </w:rPr>
        <w:t>part of a</w:t>
      </w:r>
      <w:r w:rsidR="008812B6" w:rsidRPr="00EF0D09">
        <w:rPr>
          <w:szCs w:val="24"/>
        </w:rPr>
        <w:t xml:space="preserve"> gap between these settlements </w:t>
      </w:r>
      <w:r w:rsidR="008812B6" w:rsidRPr="00255D25">
        <w:rPr>
          <w:szCs w:val="24"/>
        </w:rPr>
        <w:t>and is of critical importance to the separation of the two settlements</w:t>
      </w:r>
      <w:r w:rsidR="008812B6">
        <w:rPr>
          <w:szCs w:val="24"/>
        </w:rPr>
        <w:t>.’</w:t>
      </w:r>
    </w:p>
    <w:p w14:paraId="07CCFD91" w14:textId="5C57FE96" w:rsidR="008812B6" w:rsidRDefault="008812B6" w:rsidP="00843D72">
      <w:pPr>
        <w:pStyle w:val="Normal2"/>
        <w:numPr>
          <w:ilvl w:val="0"/>
          <w:numId w:val="34"/>
        </w:numPr>
        <w:spacing w:after="360"/>
        <w:ind w:left="567" w:hanging="567"/>
        <w:rPr>
          <w:szCs w:val="24"/>
        </w:rPr>
      </w:pPr>
      <w:r>
        <w:rPr>
          <w:szCs w:val="24"/>
        </w:rPr>
        <w:t xml:space="preserve">The Framework’s conclusion with reference to </w:t>
      </w:r>
      <w:r w:rsidR="009339BD">
        <w:rPr>
          <w:szCs w:val="24"/>
        </w:rPr>
        <w:t>the third purpose</w:t>
      </w:r>
      <w:r>
        <w:rPr>
          <w:szCs w:val="24"/>
        </w:rPr>
        <w:t xml:space="preserve"> which is concerned with safeguarding the countryside from encroachment was that: ‘The A6-MARR…..once built…will represent a large urbanising feature and is likely to detract significantly the rural character of the parcel’.</w:t>
      </w:r>
    </w:p>
    <w:p w14:paraId="24E4F8D6" w14:textId="15835833" w:rsidR="008812B6" w:rsidRPr="003E7D50" w:rsidRDefault="008812B6" w:rsidP="00F80331">
      <w:pPr>
        <w:pStyle w:val="Normal2"/>
        <w:numPr>
          <w:ilvl w:val="0"/>
          <w:numId w:val="34"/>
        </w:numPr>
        <w:spacing w:after="360"/>
        <w:ind w:left="567" w:hanging="567"/>
        <w:rPr>
          <w:szCs w:val="24"/>
        </w:rPr>
      </w:pPr>
      <w:r>
        <w:rPr>
          <w:szCs w:val="24"/>
        </w:rPr>
        <w:t xml:space="preserve">The </w:t>
      </w:r>
      <w:r w:rsidR="007B222D">
        <w:rPr>
          <w:szCs w:val="24"/>
        </w:rPr>
        <w:t>Cou</w:t>
      </w:r>
      <w:r w:rsidR="007800B7">
        <w:rPr>
          <w:szCs w:val="24"/>
        </w:rPr>
        <w:t>ncil</w:t>
      </w:r>
      <w:r>
        <w:rPr>
          <w:szCs w:val="24"/>
        </w:rPr>
        <w:t xml:space="preserve"> withdrew from the GMSF in late 2020.  I will consider the experts’ views on the performance of the grazing land against the NPPF purposes later in this decision but it is clear that the LPA will have to undertake such an appraisal when deciding whether to release green belt sites for development as part of its Local Plan process.</w:t>
      </w:r>
    </w:p>
    <w:p w14:paraId="1B33F309" w14:textId="4213DE25" w:rsidR="00005C64" w:rsidRDefault="00005C64" w:rsidP="00E7613F">
      <w:pPr>
        <w:pStyle w:val="Normal2"/>
        <w:spacing w:after="360"/>
        <w:jc w:val="left"/>
        <w:rPr>
          <w:i/>
          <w:iCs/>
          <w:szCs w:val="24"/>
        </w:rPr>
      </w:pPr>
      <w:r w:rsidRPr="00005C64">
        <w:rPr>
          <w:i/>
          <w:iCs/>
          <w:szCs w:val="24"/>
        </w:rPr>
        <w:t>National Planning Policy Framework</w:t>
      </w:r>
    </w:p>
    <w:p w14:paraId="4D25DC20" w14:textId="00C75F83" w:rsidR="00146464" w:rsidRDefault="008653E9" w:rsidP="007800B7">
      <w:pPr>
        <w:pStyle w:val="ListParagraph"/>
        <w:numPr>
          <w:ilvl w:val="0"/>
          <w:numId w:val="34"/>
        </w:numPr>
        <w:spacing w:after="360"/>
        <w:ind w:left="567" w:hanging="567"/>
        <w:jc w:val="both"/>
      </w:pPr>
      <w:r>
        <w:t xml:space="preserve">Section 9 of the NPPF is concerned with the protection of </w:t>
      </w:r>
      <w:r w:rsidR="00CF74DD">
        <w:t>g</w:t>
      </w:r>
      <w:r>
        <w:t xml:space="preserve">reen </w:t>
      </w:r>
      <w:r w:rsidR="00CF74DD">
        <w:t>b</w:t>
      </w:r>
      <w:r>
        <w:t>elts and provides guidance for local planning authorities</w:t>
      </w:r>
      <w:r w:rsidR="00146464">
        <w:t xml:space="preserve">.   </w:t>
      </w:r>
      <w:r>
        <w:t xml:space="preserve"> </w:t>
      </w:r>
      <w:r w:rsidR="00146464">
        <w:t xml:space="preserve">Paragraph 79 </w:t>
      </w:r>
      <w:r w:rsidR="0063799E">
        <w:t>is of</w:t>
      </w:r>
      <w:r w:rsidR="00146464">
        <w:t xml:space="preserve"> particular </w:t>
      </w:r>
      <w:r w:rsidR="001D178A">
        <w:t>relevance</w:t>
      </w:r>
      <w:r w:rsidR="00146464">
        <w:t xml:space="preserve"> and describe</w:t>
      </w:r>
      <w:r w:rsidR="0063799E">
        <w:t>s</w:t>
      </w:r>
      <w:r w:rsidR="00146464">
        <w:t xml:space="preserve"> the aims and purposes of the green belt and green belt policy, as follows:</w:t>
      </w:r>
    </w:p>
    <w:p w14:paraId="45E55515" w14:textId="74F16915" w:rsidR="00FE24E2" w:rsidRDefault="00146464" w:rsidP="006B1C3B">
      <w:pPr>
        <w:spacing w:after="120"/>
        <w:ind w:left="851" w:right="567"/>
        <w:jc w:val="both"/>
      </w:pPr>
      <w:r>
        <w:lastRenderedPageBreak/>
        <w:t>“79.     The Government attaches great importance to Green Belts. The fundamental aim of Green Belt policy is to prevent urban sprawl by keeping land permanently open; the essential characteristics of Green Belts are their openness and their permanence.</w:t>
      </w:r>
    </w:p>
    <w:p w14:paraId="6C594330" w14:textId="77777777" w:rsidR="006B1C3B" w:rsidRPr="006B1C3B" w:rsidRDefault="006B1C3B" w:rsidP="006B1C3B">
      <w:pPr>
        <w:spacing w:after="120"/>
        <w:ind w:left="851" w:right="567"/>
        <w:jc w:val="both"/>
      </w:pPr>
    </w:p>
    <w:p w14:paraId="25AC2D94" w14:textId="6D42E616" w:rsidR="00B84E1B" w:rsidRPr="00C550E2" w:rsidRDefault="00D24EC6" w:rsidP="005E2F84">
      <w:pPr>
        <w:tabs>
          <w:tab w:val="left" w:pos="567"/>
        </w:tabs>
        <w:spacing w:after="240" w:line="256" w:lineRule="auto"/>
        <w:ind w:left="567" w:hanging="567"/>
        <w:jc w:val="both"/>
        <w:rPr>
          <w:szCs w:val="24"/>
        </w:rPr>
      </w:pPr>
      <w:r>
        <w:rPr>
          <w:szCs w:val="24"/>
        </w:rPr>
        <w:t>2</w:t>
      </w:r>
      <w:r w:rsidR="002544C0">
        <w:rPr>
          <w:szCs w:val="24"/>
        </w:rPr>
        <w:t>4</w:t>
      </w:r>
      <w:r>
        <w:rPr>
          <w:szCs w:val="24"/>
        </w:rPr>
        <w:t xml:space="preserve">. </w:t>
      </w:r>
      <w:r>
        <w:rPr>
          <w:szCs w:val="24"/>
        </w:rPr>
        <w:tab/>
      </w:r>
      <w:r w:rsidR="00195900">
        <w:rPr>
          <w:szCs w:val="24"/>
        </w:rPr>
        <w:t xml:space="preserve">The NPPF also addresses housing provision, described as ‘delivering a wide choice of </w:t>
      </w:r>
      <w:r w:rsidR="00401424">
        <w:rPr>
          <w:szCs w:val="24"/>
        </w:rPr>
        <w:t>high-quality</w:t>
      </w:r>
      <w:r w:rsidR="00195900">
        <w:rPr>
          <w:szCs w:val="24"/>
        </w:rPr>
        <w:t xml:space="preserve"> homes’.  </w:t>
      </w:r>
      <w:r w:rsidR="00B84E1B" w:rsidRPr="00B84E1B">
        <w:rPr>
          <w:szCs w:val="24"/>
        </w:rPr>
        <w:t xml:space="preserve">Paragraph 47 of the framework </w:t>
      </w:r>
      <w:r w:rsidR="000B391B">
        <w:rPr>
          <w:szCs w:val="24"/>
        </w:rPr>
        <w:t xml:space="preserve">is concerned with </w:t>
      </w:r>
      <w:r w:rsidR="006842C2">
        <w:rPr>
          <w:szCs w:val="24"/>
        </w:rPr>
        <w:t xml:space="preserve">significantly boosting the supply of housing and </w:t>
      </w:r>
      <w:r w:rsidR="00195900">
        <w:rPr>
          <w:szCs w:val="24"/>
        </w:rPr>
        <w:t>says</w:t>
      </w:r>
      <w:r w:rsidR="00B84E1B" w:rsidRPr="00B84E1B">
        <w:rPr>
          <w:szCs w:val="24"/>
        </w:rPr>
        <w:t xml:space="preserve"> that</w:t>
      </w:r>
      <w:r w:rsidR="00C550E2">
        <w:rPr>
          <w:szCs w:val="24"/>
        </w:rPr>
        <w:tab/>
      </w:r>
      <w:r w:rsidR="00B84E1B" w:rsidRPr="00B84E1B">
        <w:rPr>
          <w:szCs w:val="24"/>
        </w:rPr>
        <w:t>local planning authorities should</w:t>
      </w:r>
      <w:r w:rsidR="005A136C">
        <w:rPr>
          <w:szCs w:val="24"/>
        </w:rPr>
        <w:t xml:space="preserve"> use their </w:t>
      </w:r>
      <w:r w:rsidR="00B84E1B" w:rsidRPr="00C550E2">
        <w:rPr>
          <w:szCs w:val="24"/>
        </w:rPr>
        <w:t xml:space="preserve">evidence base to ensure that their local plan meets the full objectively </w:t>
      </w:r>
      <w:r w:rsidR="008401C2">
        <w:rPr>
          <w:szCs w:val="24"/>
        </w:rPr>
        <w:t>ass</w:t>
      </w:r>
      <w:r w:rsidR="00B84E1B" w:rsidRPr="00C550E2">
        <w:rPr>
          <w:szCs w:val="24"/>
        </w:rPr>
        <w:t xml:space="preserve">essed needs for market and affordable </w:t>
      </w:r>
      <w:r w:rsidR="005A136C">
        <w:rPr>
          <w:szCs w:val="24"/>
        </w:rPr>
        <w:t xml:space="preserve">housing.   The LPA is also required to </w:t>
      </w:r>
      <w:r w:rsidR="00195900" w:rsidRPr="005A136C">
        <w:rPr>
          <w:szCs w:val="24"/>
        </w:rPr>
        <w:t xml:space="preserve">identify a supply </w:t>
      </w:r>
      <w:r w:rsidR="000122C6">
        <w:rPr>
          <w:szCs w:val="24"/>
        </w:rPr>
        <w:t xml:space="preserve">of </w:t>
      </w:r>
      <w:r w:rsidR="00195900" w:rsidRPr="005A136C">
        <w:rPr>
          <w:szCs w:val="24"/>
        </w:rPr>
        <w:t xml:space="preserve">sites sufficient to provide five </w:t>
      </w:r>
      <w:r w:rsidR="00B71DAA" w:rsidRPr="005A136C">
        <w:rPr>
          <w:szCs w:val="24"/>
        </w:rPr>
        <w:t>years’ worth</w:t>
      </w:r>
      <w:r w:rsidR="00195900" w:rsidRPr="005A136C">
        <w:rPr>
          <w:szCs w:val="24"/>
        </w:rPr>
        <w:t xml:space="preserve"> of housing with an additional buffer of 5</w:t>
      </w:r>
      <w:r w:rsidR="00B71DAA" w:rsidRPr="005A136C">
        <w:rPr>
          <w:szCs w:val="24"/>
        </w:rPr>
        <w:t>% to</w:t>
      </w:r>
      <w:r w:rsidR="00195900" w:rsidRPr="005A136C">
        <w:rPr>
          <w:szCs w:val="24"/>
        </w:rPr>
        <w:t xml:space="preserve"> ensure choice and competition in the market for land. </w:t>
      </w:r>
      <w:r w:rsidR="00FD3AA5">
        <w:rPr>
          <w:szCs w:val="24"/>
        </w:rPr>
        <w:t xml:space="preserve">The buffer is increased to </w:t>
      </w:r>
      <w:r w:rsidR="00195900" w:rsidRPr="005A136C">
        <w:rPr>
          <w:szCs w:val="24"/>
        </w:rPr>
        <w:t xml:space="preserve">20% </w:t>
      </w:r>
      <w:r w:rsidR="002B7E33">
        <w:rPr>
          <w:szCs w:val="24"/>
        </w:rPr>
        <w:t xml:space="preserve">where there is a </w:t>
      </w:r>
      <w:r w:rsidR="00131006">
        <w:rPr>
          <w:szCs w:val="24"/>
        </w:rPr>
        <w:t xml:space="preserve">record </w:t>
      </w:r>
      <w:r w:rsidR="002B7E33">
        <w:rPr>
          <w:szCs w:val="24"/>
        </w:rPr>
        <w:t xml:space="preserve">of </w:t>
      </w:r>
      <w:r w:rsidR="00D81145">
        <w:rPr>
          <w:szCs w:val="24"/>
        </w:rPr>
        <w:t>persistent under delivery</w:t>
      </w:r>
      <w:r w:rsidR="005E2F84">
        <w:rPr>
          <w:szCs w:val="24"/>
        </w:rPr>
        <w:t xml:space="preserve">. </w:t>
      </w:r>
      <w:r w:rsidR="00D81145">
        <w:rPr>
          <w:szCs w:val="24"/>
        </w:rPr>
        <w:t xml:space="preserve">  </w:t>
      </w:r>
      <w:r w:rsidR="002F6360">
        <w:rPr>
          <w:szCs w:val="24"/>
        </w:rPr>
        <w:t xml:space="preserve">They are also required to </w:t>
      </w:r>
      <w:r w:rsidR="00C550E2">
        <w:rPr>
          <w:szCs w:val="24"/>
        </w:rPr>
        <w:t>i</w:t>
      </w:r>
      <w:r w:rsidR="00C550E2" w:rsidRPr="00C550E2">
        <w:rPr>
          <w:szCs w:val="24"/>
        </w:rPr>
        <w:t xml:space="preserve">dentify </w:t>
      </w:r>
      <w:r w:rsidR="00B84E1B" w:rsidRPr="00C550E2">
        <w:rPr>
          <w:szCs w:val="24"/>
        </w:rPr>
        <w:t>a supply of specific developable sites or broad locations for growth for years 6-10 and where possible, for years 11-15.</w:t>
      </w:r>
    </w:p>
    <w:p w14:paraId="76065AF1" w14:textId="02E21775" w:rsidR="00D63EFE" w:rsidRDefault="00D63EFE" w:rsidP="00E7613F">
      <w:pPr>
        <w:pStyle w:val="Normal2"/>
        <w:spacing w:after="360"/>
        <w:jc w:val="left"/>
        <w:rPr>
          <w:i/>
          <w:iCs/>
          <w:szCs w:val="24"/>
        </w:rPr>
      </w:pPr>
      <w:r w:rsidRPr="00D63EFE">
        <w:rPr>
          <w:i/>
          <w:iCs/>
          <w:szCs w:val="24"/>
        </w:rPr>
        <w:t>Ministerial Statements</w:t>
      </w:r>
    </w:p>
    <w:p w14:paraId="3DDDD5D9" w14:textId="543A3ECB" w:rsidR="00204C62" w:rsidRPr="009108AC" w:rsidRDefault="009108AC" w:rsidP="00300780">
      <w:pPr>
        <w:pStyle w:val="Normal2"/>
        <w:numPr>
          <w:ilvl w:val="0"/>
          <w:numId w:val="35"/>
        </w:numPr>
        <w:spacing w:after="360"/>
        <w:ind w:left="567" w:hanging="567"/>
        <w:rPr>
          <w:szCs w:val="24"/>
        </w:rPr>
      </w:pPr>
      <w:r w:rsidRPr="009108AC">
        <w:rPr>
          <w:szCs w:val="24"/>
        </w:rPr>
        <w:t xml:space="preserve">Further guidance has been provided in Ministerial Statements.  Housing </w:t>
      </w:r>
      <w:r w:rsidR="00204C62" w:rsidRPr="009108AC">
        <w:rPr>
          <w:szCs w:val="24"/>
        </w:rPr>
        <w:t xml:space="preserve">Minister Brandon Lewis published a written statement to Parliament </w:t>
      </w:r>
      <w:r w:rsidRPr="009108AC">
        <w:rPr>
          <w:szCs w:val="24"/>
        </w:rPr>
        <w:t xml:space="preserve">in July 2013 saying: </w:t>
      </w:r>
    </w:p>
    <w:p w14:paraId="4A36B7CC" w14:textId="57B33098" w:rsidR="00204C62" w:rsidRPr="009108AC" w:rsidRDefault="00204C62" w:rsidP="009E4805">
      <w:pPr>
        <w:pStyle w:val="Normal2"/>
        <w:spacing w:after="360"/>
        <w:ind w:left="720"/>
        <w:rPr>
          <w:szCs w:val="24"/>
        </w:rPr>
      </w:pPr>
      <w:r w:rsidRPr="009108AC">
        <w:rPr>
          <w:szCs w:val="24"/>
        </w:rPr>
        <w:t>“</w:t>
      </w:r>
      <w:r w:rsidRPr="009108AC">
        <w:rPr>
          <w:i/>
          <w:iCs/>
          <w:szCs w:val="24"/>
        </w:rPr>
        <w:t>Unmet need, whether for traveller sites or for conventional housing, is unlikely to outweigh</w:t>
      </w:r>
      <w:r w:rsidR="00077C51" w:rsidRPr="009108AC">
        <w:rPr>
          <w:i/>
          <w:iCs/>
          <w:szCs w:val="24"/>
        </w:rPr>
        <w:t xml:space="preserve"> </w:t>
      </w:r>
      <w:r w:rsidRPr="009108AC">
        <w:rPr>
          <w:i/>
          <w:iCs/>
          <w:szCs w:val="24"/>
        </w:rPr>
        <w:t>harm to the green belt and other harm to constitute the “very special circumstances”</w:t>
      </w:r>
      <w:r w:rsidR="00077C51" w:rsidRPr="009108AC">
        <w:rPr>
          <w:i/>
          <w:iCs/>
          <w:szCs w:val="24"/>
        </w:rPr>
        <w:t xml:space="preserve"> </w:t>
      </w:r>
      <w:r w:rsidRPr="009108AC">
        <w:rPr>
          <w:i/>
          <w:iCs/>
          <w:szCs w:val="24"/>
        </w:rPr>
        <w:t>justifying</w:t>
      </w:r>
      <w:r w:rsidR="00077C51" w:rsidRPr="009108AC">
        <w:rPr>
          <w:i/>
          <w:iCs/>
          <w:szCs w:val="24"/>
        </w:rPr>
        <w:t xml:space="preserve"> </w:t>
      </w:r>
      <w:r w:rsidRPr="009108AC">
        <w:rPr>
          <w:i/>
          <w:iCs/>
          <w:szCs w:val="24"/>
        </w:rPr>
        <w:t>inappropriate development in the green belt</w:t>
      </w:r>
      <w:r w:rsidRPr="009108AC">
        <w:rPr>
          <w:szCs w:val="24"/>
        </w:rPr>
        <w:t>”.</w:t>
      </w:r>
    </w:p>
    <w:p w14:paraId="1354AD0F" w14:textId="6A6F17CF" w:rsidR="00204C62" w:rsidRPr="009108AC" w:rsidRDefault="00AE70C6" w:rsidP="00A02E7A">
      <w:pPr>
        <w:pStyle w:val="Normal2"/>
        <w:spacing w:after="360"/>
        <w:ind w:left="567"/>
        <w:rPr>
          <w:szCs w:val="24"/>
        </w:rPr>
      </w:pPr>
      <w:r>
        <w:rPr>
          <w:szCs w:val="24"/>
        </w:rPr>
        <w:t>I</w:t>
      </w:r>
      <w:r w:rsidRPr="009108AC">
        <w:rPr>
          <w:szCs w:val="24"/>
        </w:rPr>
        <w:t xml:space="preserve">n March 2014, </w:t>
      </w:r>
      <w:r w:rsidR="00204C62" w:rsidRPr="009108AC">
        <w:rPr>
          <w:szCs w:val="24"/>
        </w:rPr>
        <w:t>Nick Boles, Parliamentary Under Secretary of State (Planning), sent a formal</w:t>
      </w:r>
      <w:r w:rsidR="00077C51" w:rsidRPr="009108AC">
        <w:rPr>
          <w:szCs w:val="24"/>
        </w:rPr>
        <w:t xml:space="preserve"> </w:t>
      </w:r>
      <w:r w:rsidR="00204C62" w:rsidRPr="009108AC">
        <w:rPr>
          <w:szCs w:val="24"/>
        </w:rPr>
        <w:t>letter to Sir Michael Pitt, the Chief Executive of the Planning Inspectorate</w:t>
      </w:r>
      <w:r>
        <w:rPr>
          <w:szCs w:val="24"/>
        </w:rPr>
        <w:t xml:space="preserve"> </w:t>
      </w:r>
      <w:r w:rsidR="00204C62" w:rsidRPr="009108AC">
        <w:rPr>
          <w:szCs w:val="24"/>
        </w:rPr>
        <w:t>regarding Inspectors’</w:t>
      </w:r>
      <w:r w:rsidR="001C41E2" w:rsidRPr="009108AC">
        <w:rPr>
          <w:szCs w:val="24"/>
        </w:rPr>
        <w:t xml:space="preserve"> </w:t>
      </w:r>
      <w:r w:rsidR="00204C62" w:rsidRPr="009108AC">
        <w:rPr>
          <w:szCs w:val="24"/>
        </w:rPr>
        <w:t>Reports on Local Plans</w:t>
      </w:r>
      <w:r w:rsidR="009108AC" w:rsidRPr="009108AC">
        <w:rPr>
          <w:szCs w:val="24"/>
        </w:rPr>
        <w:t xml:space="preserve"> as follows</w:t>
      </w:r>
      <w:r w:rsidR="00204C62" w:rsidRPr="009108AC">
        <w:rPr>
          <w:szCs w:val="24"/>
        </w:rPr>
        <w:t>:</w:t>
      </w:r>
    </w:p>
    <w:p w14:paraId="36AA8FCA" w14:textId="01972AFB" w:rsidR="00204C62" w:rsidRPr="00204C62" w:rsidRDefault="00204C62" w:rsidP="009E4805">
      <w:pPr>
        <w:pStyle w:val="Normal2"/>
        <w:spacing w:after="360"/>
        <w:ind w:left="720"/>
        <w:rPr>
          <w:szCs w:val="24"/>
        </w:rPr>
      </w:pPr>
      <w:r w:rsidRPr="009108AC">
        <w:rPr>
          <w:i/>
          <w:iCs/>
          <w:szCs w:val="24"/>
        </w:rPr>
        <w:t>“The Framework makes clear that a Green Belt boundary may be altered only in exceptional</w:t>
      </w:r>
      <w:r w:rsidR="001C41E2" w:rsidRPr="009108AC">
        <w:rPr>
          <w:i/>
          <w:iCs/>
          <w:szCs w:val="24"/>
        </w:rPr>
        <w:t xml:space="preserve"> </w:t>
      </w:r>
      <w:r w:rsidRPr="009108AC">
        <w:rPr>
          <w:i/>
          <w:iCs/>
          <w:szCs w:val="24"/>
        </w:rPr>
        <w:t>circumstances and reiterates the importance and permanence of the Green Belt. The special</w:t>
      </w:r>
      <w:r w:rsidR="001C41E2" w:rsidRPr="009108AC">
        <w:rPr>
          <w:i/>
          <w:iCs/>
          <w:szCs w:val="24"/>
        </w:rPr>
        <w:t xml:space="preserve"> </w:t>
      </w:r>
      <w:r w:rsidRPr="009108AC">
        <w:rPr>
          <w:i/>
          <w:iCs/>
          <w:szCs w:val="24"/>
        </w:rPr>
        <w:t>role of Green Belt is also recognised in the framing of the presumption in favour of sustainable</w:t>
      </w:r>
      <w:r w:rsidR="001C41E2" w:rsidRPr="009108AC">
        <w:rPr>
          <w:i/>
          <w:iCs/>
          <w:szCs w:val="24"/>
        </w:rPr>
        <w:t xml:space="preserve"> </w:t>
      </w:r>
      <w:r w:rsidRPr="009108AC">
        <w:rPr>
          <w:i/>
          <w:iCs/>
          <w:szCs w:val="24"/>
        </w:rPr>
        <w:t>development, which sets out that authorities should meet objectively assessed needs unless</w:t>
      </w:r>
      <w:r w:rsidR="001C41E2" w:rsidRPr="009108AC">
        <w:rPr>
          <w:i/>
          <w:iCs/>
          <w:szCs w:val="24"/>
        </w:rPr>
        <w:t xml:space="preserve"> </w:t>
      </w:r>
      <w:r w:rsidRPr="009108AC">
        <w:rPr>
          <w:i/>
          <w:iCs/>
          <w:szCs w:val="24"/>
        </w:rPr>
        <w:t>specific policies in the Framework indicate development should be restricted. Crucially, Green</w:t>
      </w:r>
      <w:r w:rsidR="001C41E2" w:rsidRPr="009108AC">
        <w:rPr>
          <w:i/>
          <w:iCs/>
          <w:szCs w:val="24"/>
        </w:rPr>
        <w:t xml:space="preserve"> </w:t>
      </w:r>
      <w:r w:rsidRPr="009108AC">
        <w:rPr>
          <w:i/>
          <w:iCs/>
          <w:szCs w:val="24"/>
        </w:rPr>
        <w:t>Belt is identified as one such policy”.</w:t>
      </w:r>
    </w:p>
    <w:p w14:paraId="1651BDC0" w14:textId="3FFE5918" w:rsidR="004525DD" w:rsidRPr="004525DD" w:rsidRDefault="004525DD" w:rsidP="00E7613F">
      <w:pPr>
        <w:pStyle w:val="Normal2"/>
        <w:spacing w:after="360"/>
        <w:jc w:val="left"/>
        <w:rPr>
          <w:i/>
          <w:iCs/>
          <w:szCs w:val="24"/>
        </w:rPr>
      </w:pPr>
      <w:r w:rsidRPr="004525DD">
        <w:rPr>
          <w:i/>
          <w:iCs/>
          <w:szCs w:val="24"/>
        </w:rPr>
        <w:t>Housing need and delivery</w:t>
      </w:r>
    </w:p>
    <w:p w14:paraId="12BDEC44" w14:textId="3864F3A6" w:rsidR="005764D7" w:rsidRDefault="00A85E10" w:rsidP="002544C0">
      <w:pPr>
        <w:pStyle w:val="Normal2"/>
        <w:numPr>
          <w:ilvl w:val="0"/>
          <w:numId w:val="35"/>
        </w:numPr>
        <w:spacing w:after="360"/>
        <w:ind w:left="567" w:hanging="567"/>
        <w:rPr>
          <w:szCs w:val="24"/>
        </w:rPr>
      </w:pPr>
      <w:r w:rsidRPr="00A85E10">
        <w:rPr>
          <w:szCs w:val="24"/>
        </w:rPr>
        <w:t xml:space="preserve">Having </w:t>
      </w:r>
      <w:r>
        <w:rPr>
          <w:szCs w:val="24"/>
        </w:rPr>
        <w:t>outline</w:t>
      </w:r>
      <w:r w:rsidR="009B530E">
        <w:rPr>
          <w:szCs w:val="24"/>
        </w:rPr>
        <w:t>d</w:t>
      </w:r>
      <w:r>
        <w:rPr>
          <w:szCs w:val="24"/>
        </w:rPr>
        <w:t xml:space="preserve"> the </w:t>
      </w:r>
      <w:r w:rsidR="00FD04C8">
        <w:rPr>
          <w:szCs w:val="24"/>
        </w:rPr>
        <w:t>g</w:t>
      </w:r>
      <w:r>
        <w:rPr>
          <w:szCs w:val="24"/>
        </w:rPr>
        <w:t xml:space="preserve">reen </w:t>
      </w:r>
      <w:r w:rsidR="00FD04C8">
        <w:rPr>
          <w:szCs w:val="24"/>
        </w:rPr>
        <w:t>b</w:t>
      </w:r>
      <w:r>
        <w:rPr>
          <w:szCs w:val="24"/>
        </w:rPr>
        <w:t xml:space="preserve">elt </w:t>
      </w:r>
      <w:r w:rsidR="00707162">
        <w:rPr>
          <w:szCs w:val="24"/>
        </w:rPr>
        <w:t>context,</w:t>
      </w:r>
      <w:r>
        <w:rPr>
          <w:szCs w:val="24"/>
        </w:rPr>
        <w:t xml:space="preserve"> </w:t>
      </w:r>
      <w:r w:rsidR="003A073F">
        <w:rPr>
          <w:szCs w:val="24"/>
        </w:rPr>
        <w:t xml:space="preserve">I now turn to the question </w:t>
      </w:r>
      <w:r w:rsidR="001F4AAF">
        <w:rPr>
          <w:szCs w:val="24"/>
        </w:rPr>
        <w:t>of housing</w:t>
      </w:r>
      <w:r w:rsidR="00B67525">
        <w:rPr>
          <w:szCs w:val="24"/>
        </w:rPr>
        <w:t xml:space="preserve"> need in </w:t>
      </w:r>
      <w:r w:rsidR="008E3D07">
        <w:rPr>
          <w:szCs w:val="24"/>
        </w:rPr>
        <w:t>Stockport</w:t>
      </w:r>
      <w:r w:rsidR="00687E06">
        <w:rPr>
          <w:szCs w:val="24"/>
        </w:rPr>
        <w:t xml:space="preserve">.   </w:t>
      </w:r>
      <w:r w:rsidR="00011310">
        <w:rPr>
          <w:szCs w:val="24"/>
        </w:rPr>
        <w:t xml:space="preserve">The Core Strategy </w:t>
      </w:r>
      <w:r w:rsidR="001F4AAF">
        <w:rPr>
          <w:szCs w:val="24"/>
        </w:rPr>
        <w:t>dates from 2011</w:t>
      </w:r>
      <w:r w:rsidR="00FD1163">
        <w:rPr>
          <w:szCs w:val="24"/>
        </w:rPr>
        <w:t xml:space="preserve"> and Core Policies CS2 and CS4 are </w:t>
      </w:r>
      <w:r w:rsidR="00064920">
        <w:rPr>
          <w:szCs w:val="24"/>
        </w:rPr>
        <w:t>significant</w:t>
      </w:r>
      <w:r w:rsidR="00707162">
        <w:rPr>
          <w:szCs w:val="24"/>
        </w:rPr>
        <w:t>.</w:t>
      </w:r>
      <w:r w:rsidR="00C505BB">
        <w:rPr>
          <w:szCs w:val="24"/>
        </w:rPr>
        <w:t xml:space="preserve">   </w:t>
      </w:r>
      <w:r w:rsidR="00147379">
        <w:rPr>
          <w:szCs w:val="24"/>
        </w:rPr>
        <w:t>Policy CS</w:t>
      </w:r>
      <w:r w:rsidR="00171131">
        <w:rPr>
          <w:szCs w:val="24"/>
        </w:rPr>
        <w:t>2</w:t>
      </w:r>
      <w:r w:rsidR="00147379">
        <w:rPr>
          <w:szCs w:val="24"/>
        </w:rPr>
        <w:t xml:space="preserve"> makes provision for the delivery of 7,200 new homes </w:t>
      </w:r>
      <w:r w:rsidR="00506A4D">
        <w:rPr>
          <w:szCs w:val="24"/>
        </w:rPr>
        <w:t xml:space="preserve">over the period 2011 to 2026, of which 90% should be on previously developed land.  Where </w:t>
      </w:r>
      <w:r w:rsidR="000F7802">
        <w:rPr>
          <w:szCs w:val="24"/>
        </w:rPr>
        <w:t xml:space="preserve">there is not an identifiable </w:t>
      </w:r>
      <w:r w:rsidR="009108AC">
        <w:rPr>
          <w:szCs w:val="24"/>
        </w:rPr>
        <w:t>five-year</w:t>
      </w:r>
      <w:r w:rsidR="001E6278">
        <w:rPr>
          <w:szCs w:val="24"/>
        </w:rPr>
        <w:t xml:space="preserve"> supply of land the </w:t>
      </w:r>
      <w:r w:rsidR="008E6F16">
        <w:rPr>
          <w:szCs w:val="24"/>
        </w:rPr>
        <w:t>target</w:t>
      </w:r>
      <w:r w:rsidR="006644E6">
        <w:rPr>
          <w:szCs w:val="24"/>
        </w:rPr>
        <w:t xml:space="preserve"> is relaxed to 80%.   In practice this means that the </w:t>
      </w:r>
      <w:r w:rsidR="0025276D">
        <w:rPr>
          <w:szCs w:val="24"/>
        </w:rPr>
        <w:t>Cou</w:t>
      </w:r>
      <w:r w:rsidR="00F71048">
        <w:rPr>
          <w:szCs w:val="24"/>
        </w:rPr>
        <w:t>ncil</w:t>
      </w:r>
      <w:r w:rsidR="006644E6">
        <w:rPr>
          <w:szCs w:val="24"/>
        </w:rPr>
        <w:t xml:space="preserve"> </w:t>
      </w:r>
      <w:r w:rsidR="006F6D7C">
        <w:rPr>
          <w:szCs w:val="24"/>
        </w:rPr>
        <w:t>c</w:t>
      </w:r>
      <w:r w:rsidR="006644E6">
        <w:rPr>
          <w:szCs w:val="24"/>
        </w:rPr>
        <w:t xml:space="preserve">ould </w:t>
      </w:r>
      <w:r w:rsidR="00D7520F">
        <w:rPr>
          <w:szCs w:val="24"/>
        </w:rPr>
        <w:t xml:space="preserve">potentially deliver </w:t>
      </w:r>
      <w:r w:rsidR="00140958">
        <w:rPr>
          <w:szCs w:val="24"/>
        </w:rPr>
        <w:t>1,440</w:t>
      </w:r>
      <w:r w:rsidR="00F81C38">
        <w:rPr>
          <w:szCs w:val="24"/>
        </w:rPr>
        <w:t xml:space="preserve"> homes on </w:t>
      </w:r>
      <w:r w:rsidR="00F71048">
        <w:rPr>
          <w:szCs w:val="24"/>
        </w:rPr>
        <w:t>u</w:t>
      </w:r>
      <w:r w:rsidR="00F1411F">
        <w:rPr>
          <w:szCs w:val="24"/>
        </w:rPr>
        <w:t xml:space="preserve">rban </w:t>
      </w:r>
      <w:r w:rsidR="00F71048">
        <w:rPr>
          <w:szCs w:val="24"/>
        </w:rPr>
        <w:t>g</w:t>
      </w:r>
      <w:r w:rsidR="00F81C38">
        <w:rPr>
          <w:szCs w:val="24"/>
        </w:rPr>
        <w:t xml:space="preserve">reenfield or </w:t>
      </w:r>
      <w:r w:rsidR="00F71048">
        <w:rPr>
          <w:szCs w:val="24"/>
        </w:rPr>
        <w:t>g</w:t>
      </w:r>
      <w:r w:rsidR="00F81C38">
        <w:rPr>
          <w:szCs w:val="24"/>
        </w:rPr>
        <w:t xml:space="preserve">reen </w:t>
      </w:r>
      <w:r w:rsidR="00F71048">
        <w:rPr>
          <w:szCs w:val="24"/>
        </w:rPr>
        <w:t>b</w:t>
      </w:r>
      <w:r w:rsidR="00F81C38">
        <w:rPr>
          <w:szCs w:val="24"/>
        </w:rPr>
        <w:t xml:space="preserve">elt sites </w:t>
      </w:r>
      <w:r w:rsidR="006F6D7C">
        <w:rPr>
          <w:szCs w:val="24"/>
        </w:rPr>
        <w:t>during the plan period.</w:t>
      </w:r>
      <w:r w:rsidR="00B05081">
        <w:rPr>
          <w:szCs w:val="24"/>
        </w:rPr>
        <w:t xml:space="preserve"> </w:t>
      </w:r>
    </w:p>
    <w:p w14:paraId="5E4BF700" w14:textId="24969353" w:rsidR="00A34693" w:rsidRDefault="005764D7" w:rsidP="002544C0">
      <w:pPr>
        <w:pStyle w:val="Normal2"/>
        <w:numPr>
          <w:ilvl w:val="0"/>
          <w:numId w:val="35"/>
        </w:numPr>
        <w:spacing w:after="360"/>
        <w:ind w:left="567" w:hanging="567"/>
        <w:rPr>
          <w:szCs w:val="24"/>
        </w:rPr>
      </w:pPr>
      <w:r>
        <w:rPr>
          <w:szCs w:val="24"/>
        </w:rPr>
        <w:lastRenderedPageBreak/>
        <w:t>Policy CS4</w:t>
      </w:r>
      <w:r w:rsidR="00C533DD">
        <w:rPr>
          <w:szCs w:val="24"/>
        </w:rPr>
        <w:t xml:space="preserve"> deals with the spatial allocation of housing across </w:t>
      </w:r>
      <w:r w:rsidR="00F71048">
        <w:rPr>
          <w:szCs w:val="24"/>
        </w:rPr>
        <w:t>Stockport</w:t>
      </w:r>
      <w:r w:rsidR="00C533DD">
        <w:rPr>
          <w:szCs w:val="24"/>
        </w:rPr>
        <w:t>.</w:t>
      </w:r>
      <w:r w:rsidR="005A498B">
        <w:rPr>
          <w:szCs w:val="24"/>
        </w:rPr>
        <w:t xml:space="preserve">  The policy </w:t>
      </w:r>
      <w:r w:rsidR="00E37B3E">
        <w:rPr>
          <w:szCs w:val="24"/>
        </w:rPr>
        <w:t xml:space="preserve">allocates provision between the Central Housing Area, </w:t>
      </w:r>
      <w:r w:rsidR="00D46CB4">
        <w:rPr>
          <w:szCs w:val="24"/>
        </w:rPr>
        <w:t xml:space="preserve">Neighbourhood Renewal Priority Areas and </w:t>
      </w:r>
      <w:r w:rsidR="00B557C0">
        <w:rPr>
          <w:szCs w:val="24"/>
        </w:rPr>
        <w:t>other accessible areas.</w:t>
      </w:r>
      <w:r w:rsidR="00A41E4C">
        <w:rPr>
          <w:szCs w:val="24"/>
        </w:rPr>
        <w:t xml:space="preserve">   The </w:t>
      </w:r>
      <w:r w:rsidR="00775C60">
        <w:rPr>
          <w:szCs w:val="24"/>
        </w:rPr>
        <w:t xml:space="preserve">grazing land does not fall within any of these </w:t>
      </w:r>
      <w:r w:rsidR="007621CB">
        <w:rPr>
          <w:szCs w:val="24"/>
        </w:rPr>
        <w:t>areas.</w:t>
      </w:r>
    </w:p>
    <w:p w14:paraId="0A6307C5" w14:textId="7D1B405E" w:rsidR="00A34693" w:rsidRPr="00A34693" w:rsidRDefault="005C4EB3" w:rsidP="002544C0">
      <w:pPr>
        <w:pStyle w:val="Normal2"/>
        <w:numPr>
          <w:ilvl w:val="0"/>
          <w:numId w:val="35"/>
        </w:numPr>
        <w:spacing w:after="360"/>
        <w:ind w:left="567" w:hanging="567"/>
        <w:rPr>
          <w:szCs w:val="24"/>
        </w:rPr>
      </w:pPr>
      <w:r>
        <w:rPr>
          <w:szCs w:val="24"/>
        </w:rPr>
        <w:t>The policy reco</w:t>
      </w:r>
      <w:r w:rsidR="003F6F18">
        <w:rPr>
          <w:szCs w:val="24"/>
        </w:rPr>
        <w:t xml:space="preserve">gnises that it might be necessary </w:t>
      </w:r>
      <w:r w:rsidR="00463CCD">
        <w:rPr>
          <w:szCs w:val="24"/>
        </w:rPr>
        <w:t xml:space="preserve">to allocate </w:t>
      </w:r>
      <w:r w:rsidR="00BC5882">
        <w:rPr>
          <w:szCs w:val="24"/>
        </w:rPr>
        <w:t>u</w:t>
      </w:r>
      <w:r w:rsidR="00BC5882" w:rsidRPr="00A34693">
        <w:rPr>
          <w:szCs w:val="24"/>
        </w:rPr>
        <w:t xml:space="preserve">rban </w:t>
      </w:r>
      <w:r w:rsidR="00DD4880">
        <w:rPr>
          <w:szCs w:val="24"/>
        </w:rPr>
        <w:t>g</w:t>
      </w:r>
      <w:r w:rsidR="00DD4880" w:rsidRPr="00A34693">
        <w:rPr>
          <w:szCs w:val="24"/>
        </w:rPr>
        <w:t xml:space="preserve">reenfield </w:t>
      </w:r>
      <w:r w:rsidR="00A34693" w:rsidRPr="00A34693">
        <w:rPr>
          <w:szCs w:val="24"/>
        </w:rPr>
        <w:t xml:space="preserve">and </w:t>
      </w:r>
      <w:r w:rsidR="00DD4880">
        <w:rPr>
          <w:szCs w:val="24"/>
        </w:rPr>
        <w:t>g</w:t>
      </w:r>
      <w:r w:rsidR="00DD4880" w:rsidRPr="00A34693">
        <w:rPr>
          <w:szCs w:val="24"/>
        </w:rPr>
        <w:t xml:space="preserve">reen </w:t>
      </w:r>
      <w:r w:rsidR="00DD4880">
        <w:rPr>
          <w:szCs w:val="24"/>
        </w:rPr>
        <w:t>b</w:t>
      </w:r>
      <w:r w:rsidR="00DD4880" w:rsidRPr="00A34693">
        <w:rPr>
          <w:szCs w:val="24"/>
        </w:rPr>
        <w:t xml:space="preserve">elt </w:t>
      </w:r>
      <w:r w:rsidR="00A34693" w:rsidRPr="00A34693">
        <w:rPr>
          <w:szCs w:val="24"/>
        </w:rPr>
        <w:t>sites</w:t>
      </w:r>
      <w:r w:rsidR="00AC6C71">
        <w:rPr>
          <w:szCs w:val="24"/>
        </w:rPr>
        <w:t xml:space="preserve"> to meet </w:t>
      </w:r>
      <w:r w:rsidR="003C0231">
        <w:rPr>
          <w:szCs w:val="24"/>
        </w:rPr>
        <w:t xml:space="preserve">need but that </w:t>
      </w:r>
      <w:r w:rsidR="00A34693" w:rsidRPr="00A34693">
        <w:rPr>
          <w:szCs w:val="24"/>
        </w:rPr>
        <w:t xml:space="preserve">between 2013 and 2023, </w:t>
      </w:r>
      <w:r w:rsidR="003B430B">
        <w:rPr>
          <w:szCs w:val="24"/>
        </w:rPr>
        <w:t>these</w:t>
      </w:r>
      <w:r w:rsidR="00A34693" w:rsidRPr="00A34693">
        <w:rPr>
          <w:szCs w:val="24"/>
        </w:rPr>
        <w:t xml:space="preserve"> sites will not be allocated solely to achieve increased housing provision.</w:t>
      </w:r>
      <w:r w:rsidR="00B064C6">
        <w:rPr>
          <w:szCs w:val="24"/>
        </w:rPr>
        <w:t xml:space="preserve">  </w:t>
      </w:r>
      <w:r w:rsidR="00475EA6">
        <w:rPr>
          <w:szCs w:val="24"/>
        </w:rPr>
        <w:t xml:space="preserve">Any change to the </w:t>
      </w:r>
      <w:r w:rsidR="00DD4880">
        <w:rPr>
          <w:szCs w:val="24"/>
        </w:rPr>
        <w:t xml:space="preserve">green belt </w:t>
      </w:r>
      <w:r w:rsidR="00D63EFE">
        <w:rPr>
          <w:szCs w:val="24"/>
        </w:rPr>
        <w:t>b</w:t>
      </w:r>
      <w:r w:rsidR="00475EA6">
        <w:rPr>
          <w:szCs w:val="24"/>
        </w:rPr>
        <w:t>oundary</w:t>
      </w:r>
      <w:r w:rsidR="00D63EFE">
        <w:rPr>
          <w:szCs w:val="24"/>
        </w:rPr>
        <w:t xml:space="preserve"> must be justified by exceptional circumstances.</w:t>
      </w:r>
      <w:r w:rsidR="00475EA6">
        <w:rPr>
          <w:szCs w:val="24"/>
        </w:rPr>
        <w:t xml:space="preserve"> </w:t>
      </w:r>
      <w:r w:rsidR="00B064C6">
        <w:rPr>
          <w:szCs w:val="24"/>
        </w:rPr>
        <w:t xml:space="preserve"> The policy goes on to set out a </w:t>
      </w:r>
      <w:r w:rsidR="00A34693" w:rsidRPr="00A34693">
        <w:rPr>
          <w:szCs w:val="24"/>
        </w:rPr>
        <w:t xml:space="preserve">sequential </w:t>
      </w:r>
      <w:r w:rsidR="004E0052">
        <w:rPr>
          <w:szCs w:val="24"/>
        </w:rPr>
        <w:t>methodology</w:t>
      </w:r>
      <w:r w:rsidR="00A34693" w:rsidRPr="00A34693">
        <w:rPr>
          <w:szCs w:val="24"/>
        </w:rPr>
        <w:t xml:space="preserve"> to the allocation of </w:t>
      </w:r>
      <w:r w:rsidR="00DD4880">
        <w:rPr>
          <w:szCs w:val="24"/>
        </w:rPr>
        <w:t>u</w:t>
      </w:r>
      <w:r w:rsidR="00DD4880" w:rsidRPr="00A34693">
        <w:rPr>
          <w:szCs w:val="24"/>
        </w:rPr>
        <w:t xml:space="preserve">rban </w:t>
      </w:r>
      <w:r w:rsidR="00DD4880">
        <w:rPr>
          <w:szCs w:val="24"/>
        </w:rPr>
        <w:t>g</w:t>
      </w:r>
      <w:r w:rsidR="00DD4880" w:rsidRPr="00A34693">
        <w:rPr>
          <w:szCs w:val="24"/>
        </w:rPr>
        <w:t xml:space="preserve">reenfield </w:t>
      </w:r>
      <w:r w:rsidR="00A34693" w:rsidRPr="00A34693">
        <w:rPr>
          <w:szCs w:val="24"/>
        </w:rPr>
        <w:t xml:space="preserve">and </w:t>
      </w:r>
      <w:r w:rsidR="00DD4880">
        <w:rPr>
          <w:szCs w:val="24"/>
        </w:rPr>
        <w:t>g</w:t>
      </w:r>
      <w:r w:rsidR="00DD4880" w:rsidRPr="00A34693">
        <w:rPr>
          <w:szCs w:val="24"/>
        </w:rPr>
        <w:t xml:space="preserve">reen </w:t>
      </w:r>
      <w:r w:rsidR="00DD4880">
        <w:rPr>
          <w:szCs w:val="24"/>
        </w:rPr>
        <w:t>b</w:t>
      </w:r>
      <w:r w:rsidR="00DD4880" w:rsidRPr="00A34693">
        <w:rPr>
          <w:szCs w:val="24"/>
        </w:rPr>
        <w:t xml:space="preserve">elt </w:t>
      </w:r>
      <w:r w:rsidR="00A34693" w:rsidRPr="00A34693">
        <w:rPr>
          <w:szCs w:val="24"/>
        </w:rPr>
        <w:t>land</w:t>
      </w:r>
      <w:r w:rsidR="00B064C6">
        <w:rPr>
          <w:szCs w:val="24"/>
        </w:rPr>
        <w:t>:</w:t>
      </w:r>
    </w:p>
    <w:p w14:paraId="39035FF9" w14:textId="1F3C069B" w:rsidR="00A34693" w:rsidRPr="00A34693" w:rsidRDefault="00A34693" w:rsidP="00961D2E">
      <w:pPr>
        <w:pStyle w:val="Normal2"/>
        <w:spacing w:after="360"/>
        <w:ind w:left="1440"/>
        <w:rPr>
          <w:szCs w:val="24"/>
        </w:rPr>
      </w:pPr>
      <w:r w:rsidRPr="00A34693">
        <w:rPr>
          <w:szCs w:val="24"/>
        </w:rPr>
        <w:t>Firstly, the use of accessible urban sites that are not designated as open space, or</w:t>
      </w:r>
      <w:r w:rsidR="00ED5FDA">
        <w:rPr>
          <w:szCs w:val="24"/>
        </w:rPr>
        <w:t xml:space="preserve"> </w:t>
      </w:r>
      <w:r w:rsidRPr="00A34693">
        <w:rPr>
          <w:szCs w:val="24"/>
        </w:rPr>
        <w:t>considered to be areas of open space with amenity value;</w:t>
      </w:r>
    </w:p>
    <w:p w14:paraId="4B757EE0" w14:textId="7244BC63" w:rsidR="00A34693" w:rsidRPr="00A34693" w:rsidRDefault="00A34693" w:rsidP="00961D2E">
      <w:pPr>
        <w:pStyle w:val="Normal2"/>
        <w:spacing w:after="360"/>
        <w:ind w:left="1440"/>
        <w:rPr>
          <w:szCs w:val="24"/>
        </w:rPr>
      </w:pPr>
      <w:r w:rsidRPr="00A34693">
        <w:rPr>
          <w:szCs w:val="24"/>
        </w:rPr>
        <w:t>Secondly, the use of private residential gardens in accessible urban locations where</w:t>
      </w:r>
      <w:r w:rsidR="00ED5FDA">
        <w:rPr>
          <w:szCs w:val="24"/>
        </w:rPr>
        <w:t xml:space="preserve"> </w:t>
      </w:r>
      <w:r w:rsidRPr="00A34693">
        <w:rPr>
          <w:szCs w:val="24"/>
        </w:rPr>
        <w:t>proposals respond to the character of the local area and maintain good standards of</w:t>
      </w:r>
      <w:r w:rsidR="00ED5FDA">
        <w:rPr>
          <w:szCs w:val="24"/>
        </w:rPr>
        <w:t xml:space="preserve"> </w:t>
      </w:r>
      <w:r w:rsidRPr="00A34693">
        <w:rPr>
          <w:szCs w:val="24"/>
        </w:rPr>
        <w:t>amenity and privacy for the occupants of existing housing, in accordance with</w:t>
      </w:r>
      <w:r w:rsidR="00ED5FDA">
        <w:rPr>
          <w:szCs w:val="24"/>
        </w:rPr>
        <w:t xml:space="preserve"> </w:t>
      </w:r>
      <w:r w:rsidRPr="00A34693">
        <w:rPr>
          <w:szCs w:val="24"/>
        </w:rPr>
        <w:t>Development Management Policy H-1 'Design of Residential Development';</w:t>
      </w:r>
    </w:p>
    <w:p w14:paraId="5D40EB95" w14:textId="1420236E" w:rsidR="00A34693" w:rsidRPr="00A34693" w:rsidRDefault="00A34693" w:rsidP="00961D2E">
      <w:pPr>
        <w:pStyle w:val="Normal2"/>
        <w:spacing w:after="360"/>
        <w:ind w:left="1440"/>
        <w:rPr>
          <w:szCs w:val="24"/>
        </w:rPr>
      </w:pPr>
      <w:r w:rsidRPr="00A34693">
        <w:rPr>
          <w:szCs w:val="24"/>
        </w:rPr>
        <w:t>Thirdly, the use of accessible urban open space where it can be demonstrated that there</w:t>
      </w:r>
      <w:r w:rsidR="00ED5FDA">
        <w:rPr>
          <w:szCs w:val="24"/>
        </w:rPr>
        <w:t xml:space="preserve"> </w:t>
      </w:r>
      <w:r w:rsidRPr="00A34693">
        <w:rPr>
          <w:szCs w:val="24"/>
        </w:rPr>
        <w:t>is adequate provision of open space in the local area or the loss would be adequately</w:t>
      </w:r>
      <w:r w:rsidR="00EF451C">
        <w:rPr>
          <w:szCs w:val="24"/>
        </w:rPr>
        <w:t xml:space="preserve"> </w:t>
      </w:r>
      <w:r w:rsidRPr="00A34693">
        <w:rPr>
          <w:szCs w:val="24"/>
        </w:rPr>
        <w:t>replaced, in accordance with Core Policy CS8 'Safeguarding and Improving the</w:t>
      </w:r>
      <w:r w:rsidR="00EF451C">
        <w:rPr>
          <w:szCs w:val="24"/>
        </w:rPr>
        <w:t xml:space="preserve"> </w:t>
      </w:r>
      <w:r w:rsidRPr="00A34693">
        <w:rPr>
          <w:szCs w:val="24"/>
        </w:rPr>
        <w:t>Environment';</w:t>
      </w:r>
    </w:p>
    <w:p w14:paraId="0C317835" w14:textId="6CE3F272" w:rsidR="00595099" w:rsidRPr="00A85E10" w:rsidRDefault="00A34693" w:rsidP="00961D2E">
      <w:pPr>
        <w:pStyle w:val="Normal2"/>
        <w:spacing w:after="360"/>
        <w:ind w:left="1440"/>
        <w:rPr>
          <w:szCs w:val="24"/>
        </w:rPr>
      </w:pPr>
      <w:r w:rsidRPr="00A34693">
        <w:rPr>
          <w:szCs w:val="24"/>
        </w:rPr>
        <w:t>Fourthly, and only if it is essential to release additional land to accommodate the</w:t>
      </w:r>
      <w:r w:rsidR="00EF451C">
        <w:rPr>
          <w:szCs w:val="24"/>
        </w:rPr>
        <w:t xml:space="preserve"> </w:t>
      </w:r>
      <w:r w:rsidRPr="00A34693">
        <w:rPr>
          <w:szCs w:val="24"/>
        </w:rPr>
        <w:t>borough's local needs, particularly the need for affordable housing or to support</w:t>
      </w:r>
      <w:r w:rsidR="00EF451C">
        <w:rPr>
          <w:szCs w:val="24"/>
        </w:rPr>
        <w:t xml:space="preserve"> </w:t>
      </w:r>
      <w:r w:rsidRPr="00A34693">
        <w:rPr>
          <w:szCs w:val="24"/>
        </w:rPr>
        <w:t>regeneration strategies in Neighbourhood Renewal Priority Areas, a limited number of</w:t>
      </w:r>
      <w:r w:rsidR="00EF451C">
        <w:rPr>
          <w:szCs w:val="24"/>
        </w:rPr>
        <w:t xml:space="preserve"> </w:t>
      </w:r>
      <w:r w:rsidRPr="00A34693">
        <w:rPr>
          <w:szCs w:val="24"/>
        </w:rPr>
        <w:t xml:space="preserve">the most suitable Green Belt sites will be used for housing. </w:t>
      </w:r>
      <w:r w:rsidRPr="001F6FFA">
        <w:rPr>
          <w:szCs w:val="24"/>
        </w:rPr>
        <w:t>Sites must be accessible,</w:t>
      </w:r>
      <w:r w:rsidR="00EF451C" w:rsidRPr="001F6FFA">
        <w:rPr>
          <w:szCs w:val="24"/>
        </w:rPr>
        <w:t xml:space="preserve"> </w:t>
      </w:r>
      <w:r w:rsidRPr="001F6FFA">
        <w:rPr>
          <w:szCs w:val="24"/>
        </w:rPr>
        <w:t>attached to the urban area, maintain openness between built-up areas, and there must</w:t>
      </w:r>
      <w:r w:rsidR="00EF451C" w:rsidRPr="001F6FFA">
        <w:rPr>
          <w:szCs w:val="24"/>
        </w:rPr>
        <w:t xml:space="preserve"> </w:t>
      </w:r>
      <w:r w:rsidRPr="001F6FFA">
        <w:rPr>
          <w:szCs w:val="24"/>
        </w:rPr>
        <w:t>be no exceptional substantial strategic change to the Green Belt or its boundaries</w:t>
      </w:r>
      <w:r w:rsidR="00EF451C" w:rsidRPr="001F6FFA">
        <w:rPr>
          <w:szCs w:val="24"/>
        </w:rPr>
        <w:t>.</w:t>
      </w:r>
    </w:p>
    <w:p w14:paraId="515CF848" w14:textId="096F37C9" w:rsidR="00E66229" w:rsidRPr="00E66229" w:rsidRDefault="00511617" w:rsidP="001E33D1">
      <w:pPr>
        <w:pStyle w:val="Normal2"/>
        <w:numPr>
          <w:ilvl w:val="0"/>
          <w:numId w:val="35"/>
        </w:numPr>
        <w:spacing w:after="360"/>
        <w:ind w:left="567" w:hanging="567"/>
        <w:rPr>
          <w:i/>
          <w:iCs/>
          <w:szCs w:val="24"/>
        </w:rPr>
      </w:pPr>
      <w:r w:rsidRPr="00E66229">
        <w:rPr>
          <w:szCs w:val="24"/>
        </w:rPr>
        <w:t xml:space="preserve">The </w:t>
      </w:r>
      <w:r w:rsidR="00B60733" w:rsidRPr="00E66229">
        <w:rPr>
          <w:szCs w:val="24"/>
        </w:rPr>
        <w:t>other side of the coin is housing delivery</w:t>
      </w:r>
      <w:r w:rsidR="000634C0" w:rsidRPr="00E66229">
        <w:rPr>
          <w:szCs w:val="24"/>
        </w:rPr>
        <w:t xml:space="preserve"> for which </w:t>
      </w:r>
      <w:r w:rsidR="00DD014D" w:rsidRPr="00E66229">
        <w:rPr>
          <w:szCs w:val="24"/>
        </w:rPr>
        <w:t>I</w:t>
      </w:r>
      <w:r w:rsidR="000634C0" w:rsidRPr="00E66229">
        <w:rPr>
          <w:szCs w:val="24"/>
        </w:rPr>
        <w:t xml:space="preserve"> </w:t>
      </w:r>
      <w:r w:rsidR="00FD4C9B" w:rsidRPr="00E66229">
        <w:rPr>
          <w:szCs w:val="24"/>
        </w:rPr>
        <w:t>was referred</w:t>
      </w:r>
      <w:r w:rsidR="000634C0" w:rsidRPr="00E66229">
        <w:rPr>
          <w:szCs w:val="24"/>
        </w:rPr>
        <w:t xml:space="preserve"> to </w:t>
      </w:r>
      <w:r w:rsidR="004F1CDF" w:rsidRPr="00E66229">
        <w:rPr>
          <w:szCs w:val="24"/>
        </w:rPr>
        <w:t xml:space="preserve">the </w:t>
      </w:r>
      <w:r w:rsidR="00DF61C4" w:rsidRPr="00E66229">
        <w:rPr>
          <w:szCs w:val="24"/>
        </w:rPr>
        <w:t>Authority’s Monitoring</w:t>
      </w:r>
      <w:r w:rsidR="006733E3" w:rsidRPr="00E66229">
        <w:rPr>
          <w:szCs w:val="24"/>
        </w:rPr>
        <w:t xml:space="preserve"> Report 2013 – 2014 for </w:t>
      </w:r>
      <w:r w:rsidR="00FD4C9B" w:rsidRPr="00E66229">
        <w:rPr>
          <w:szCs w:val="24"/>
        </w:rPr>
        <w:t>evidence</w:t>
      </w:r>
      <w:r w:rsidR="006733E3" w:rsidRPr="00E66229">
        <w:rPr>
          <w:szCs w:val="24"/>
        </w:rPr>
        <w:t>.</w:t>
      </w:r>
      <w:r w:rsidR="00D133EC" w:rsidRPr="00E66229">
        <w:rPr>
          <w:szCs w:val="24"/>
        </w:rPr>
        <w:t xml:space="preserve">     </w:t>
      </w:r>
      <w:r w:rsidR="00CD3E66" w:rsidRPr="00E66229">
        <w:rPr>
          <w:szCs w:val="24"/>
        </w:rPr>
        <w:t xml:space="preserve">This document provides details of the </w:t>
      </w:r>
      <w:r w:rsidR="00E01261">
        <w:rPr>
          <w:szCs w:val="24"/>
        </w:rPr>
        <w:t>Council</w:t>
      </w:r>
      <w:r w:rsidR="00CD3E66" w:rsidRPr="00E66229">
        <w:rPr>
          <w:szCs w:val="24"/>
        </w:rPr>
        <w:t xml:space="preserve">’s performance </w:t>
      </w:r>
      <w:r w:rsidR="009102FB" w:rsidRPr="00E66229">
        <w:rPr>
          <w:szCs w:val="24"/>
        </w:rPr>
        <w:t>against a variety of targets</w:t>
      </w:r>
      <w:r w:rsidR="002640E7" w:rsidRPr="00E66229">
        <w:rPr>
          <w:szCs w:val="24"/>
        </w:rPr>
        <w:t>, housing being just one amon</w:t>
      </w:r>
      <w:r w:rsidR="00CF29FD" w:rsidRPr="00E66229">
        <w:rPr>
          <w:szCs w:val="24"/>
        </w:rPr>
        <w:t>gst many</w:t>
      </w:r>
      <w:r w:rsidR="0020278B" w:rsidRPr="00E66229">
        <w:rPr>
          <w:szCs w:val="24"/>
        </w:rPr>
        <w:t>.</w:t>
      </w:r>
      <w:r w:rsidR="0073591B" w:rsidRPr="00E66229">
        <w:rPr>
          <w:szCs w:val="24"/>
        </w:rPr>
        <w:t xml:space="preserve">  Its findings were </w:t>
      </w:r>
      <w:r w:rsidR="00E66229">
        <w:rPr>
          <w:szCs w:val="24"/>
        </w:rPr>
        <w:t xml:space="preserve">that housing delivery was running 20% behind the target set by the Core Strategy and almost 40% behind if the buffer recommended by the NPPF is taken into account.  </w:t>
      </w:r>
    </w:p>
    <w:p w14:paraId="239E25A6" w14:textId="1A63708B" w:rsidR="00C55F89" w:rsidRPr="00C55F89" w:rsidRDefault="00500985" w:rsidP="002544C0">
      <w:pPr>
        <w:pStyle w:val="Normal2"/>
        <w:numPr>
          <w:ilvl w:val="0"/>
          <w:numId w:val="35"/>
        </w:numPr>
        <w:spacing w:after="360"/>
        <w:ind w:left="567" w:hanging="567"/>
        <w:rPr>
          <w:szCs w:val="24"/>
        </w:rPr>
      </w:pPr>
      <w:r>
        <w:rPr>
          <w:szCs w:val="24"/>
        </w:rPr>
        <w:t xml:space="preserve">It can be </w:t>
      </w:r>
      <w:r w:rsidR="00F24628">
        <w:rPr>
          <w:szCs w:val="24"/>
        </w:rPr>
        <w:t>seen</w:t>
      </w:r>
      <w:r>
        <w:rPr>
          <w:szCs w:val="24"/>
        </w:rPr>
        <w:t xml:space="preserve"> therefore</w:t>
      </w:r>
      <w:r w:rsidR="00F24628">
        <w:rPr>
          <w:szCs w:val="24"/>
        </w:rPr>
        <w:t>,</w:t>
      </w:r>
      <w:r>
        <w:rPr>
          <w:szCs w:val="24"/>
        </w:rPr>
        <w:t xml:space="preserve"> that the </w:t>
      </w:r>
      <w:r w:rsidR="0039273E">
        <w:rPr>
          <w:szCs w:val="24"/>
        </w:rPr>
        <w:t>Council</w:t>
      </w:r>
      <w:r>
        <w:rPr>
          <w:szCs w:val="24"/>
        </w:rPr>
        <w:t xml:space="preserve"> was under performing in </w:t>
      </w:r>
      <w:r w:rsidR="0073591B">
        <w:rPr>
          <w:szCs w:val="24"/>
        </w:rPr>
        <w:t>terms of delivery</w:t>
      </w:r>
      <w:r w:rsidR="00375FAA">
        <w:rPr>
          <w:szCs w:val="24"/>
        </w:rPr>
        <w:t xml:space="preserve"> and by their own admission</w:t>
      </w:r>
      <w:r w:rsidR="00805C65">
        <w:rPr>
          <w:szCs w:val="24"/>
        </w:rPr>
        <w:t xml:space="preserve"> ‘c</w:t>
      </w:r>
      <w:r w:rsidR="00805C65" w:rsidRPr="00805C65">
        <w:rPr>
          <w:szCs w:val="24"/>
        </w:rPr>
        <w:t>ompletions are expected</w:t>
      </w:r>
      <w:r w:rsidR="00B46CE1">
        <w:rPr>
          <w:szCs w:val="24"/>
        </w:rPr>
        <w:t xml:space="preserve"> </w:t>
      </w:r>
      <w:r w:rsidR="00805C65" w:rsidRPr="00805C65">
        <w:rPr>
          <w:szCs w:val="24"/>
        </w:rPr>
        <w:t>to remain below target for the next 2 years at least</w:t>
      </w:r>
      <w:r w:rsidR="005D4242">
        <w:rPr>
          <w:szCs w:val="24"/>
        </w:rPr>
        <w:t>’</w:t>
      </w:r>
      <w:r w:rsidR="00805C65" w:rsidRPr="00805C65">
        <w:rPr>
          <w:szCs w:val="24"/>
        </w:rPr>
        <w:t>.</w:t>
      </w:r>
      <w:r w:rsidR="00EF42E0">
        <w:rPr>
          <w:szCs w:val="24"/>
        </w:rPr>
        <w:t xml:space="preserve">   </w:t>
      </w:r>
      <w:r w:rsidR="00C55F89">
        <w:rPr>
          <w:szCs w:val="24"/>
        </w:rPr>
        <w:t>T</w:t>
      </w:r>
      <w:r w:rsidR="00C55F89" w:rsidRPr="00C55F89">
        <w:rPr>
          <w:szCs w:val="24"/>
        </w:rPr>
        <w:t xml:space="preserve">he planning experts agree that the five-year supply requirement </w:t>
      </w:r>
      <w:r w:rsidR="001E74ED">
        <w:rPr>
          <w:szCs w:val="24"/>
        </w:rPr>
        <w:t>was</w:t>
      </w:r>
      <w:r w:rsidR="00C55F89" w:rsidRPr="00C55F89">
        <w:rPr>
          <w:szCs w:val="24"/>
        </w:rPr>
        <w:t xml:space="preserve"> not being met and that the threshold for considering </w:t>
      </w:r>
      <w:r w:rsidR="00CB0026">
        <w:rPr>
          <w:szCs w:val="24"/>
        </w:rPr>
        <w:t>development in</w:t>
      </w:r>
      <w:r w:rsidR="00C55F89" w:rsidRPr="00C55F89">
        <w:rPr>
          <w:szCs w:val="24"/>
        </w:rPr>
        <w:t xml:space="preserve"> the green belt </w:t>
      </w:r>
      <w:r w:rsidR="00FE2569">
        <w:rPr>
          <w:szCs w:val="24"/>
        </w:rPr>
        <w:t>ha</w:t>
      </w:r>
      <w:r w:rsidR="00CB0026">
        <w:rPr>
          <w:szCs w:val="24"/>
        </w:rPr>
        <w:t>d</w:t>
      </w:r>
      <w:r w:rsidR="00FE2569">
        <w:rPr>
          <w:szCs w:val="24"/>
        </w:rPr>
        <w:t xml:space="preserve"> been reached</w:t>
      </w:r>
      <w:r w:rsidR="00C55F89" w:rsidRPr="00C55F89">
        <w:rPr>
          <w:szCs w:val="24"/>
        </w:rPr>
        <w:t>, but they disagree on the likelihood of such an extension</w:t>
      </w:r>
      <w:r w:rsidR="00332ED1">
        <w:rPr>
          <w:szCs w:val="24"/>
        </w:rPr>
        <w:t>.</w:t>
      </w:r>
      <w:r w:rsidR="00B60BC3">
        <w:rPr>
          <w:szCs w:val="24"/>
        </w:rPr>
        <w:t xml:space="preserve">   Putting it another way</w:t>
      </w:r>
      <w:r w:rsidR="0054646C">
        <w:rPr>
          <w:szCs w:val="24"/>
        </w:rPr>
        <w:t>,</w:t>
      </w:r>
      <w:r w:rsidR="00B60BC3">
        <w:rPr>
          <w:szCs w:val="24"/>
        </w:rPr>
        <w:t xml:space="preserve"> </w:t>
      </w:r>
      <w:r w:rsidR="00937645">
        <w:rPr>
          <w:szCs w:val="24"/>
        </w:rPr>
        <w:t>i</w:t>
      </w:r>
      <w:r w:rsidR="00937645" w:rsidRPr="00937645">
        <w:rPr>
          <w:szCs w:val="24"/>
        </w:rPr>
        <w:t xml:space="preserve">t is common ground that development opportunities in Stockport are constrained by the green belt, and the issue between them is whether at the valuation date there </w:t>
      </w:r>
      <w:r w:rsidR="00CB0026">
        <w:rPr>
          <w:szCs w:val="24"/>
        </w:rPr>
        <w:t>was</w:t>
      </w:r>
      <w:r w:rsidR="00937645" w:rsidRPr="00937645">
        <w:rPr>
          <w:szCs w:val="24"/>
        </w:rPr>
        <w:t xml:space="preserve"> any prospect that the grazing land would, in the foreseeable future, be available for residential development notwithstanding its current green belt status.</w:t>
      </w:r>
    </w:p>
    <w:p w14:paraId="180867DB" w14:textId="771A3A6E" w:rsidR="00600B77" w:rsidRDefault="00600B77" w:rsidP="00600B77">
      <w:pPr>
        <w:pStyle w:val="Normal2"/>
        <w:spacing w:after="360"/>
        <w:jc w:val="left"/>
        <w:rPr>
          <w:szCs w:val="24"/>
        </w:rPr>
      </w:pPr>
      <w:r w:rsidRPr="008F7373">
        <w:rPr>
          <w:i/>
          <w:iCs/>
          <w:szCs w:val="24"/>
        </w:rPr>
        <w:lastRenderedPageBreak/>
        <w:t>Agreed Facts</w:t>
      </w:r>
      <w:r w:rsidRPr="00520CBF">
        <w:rPr>
          <w:szCs w:val="24"/>
        </w:rPr>
        <w:t xml:space="preserve"> </w:t>
      </w:r>
    </w:p>
    <w:p w14:paraId="1584EC37" w14:textId="0A75CF94" w:rsidR="00600B77" w:rsidRDefault="001E33D1" w:rsidP="00600B77">
      <w:pPr>
        <w:pStyle w:val="Normal2"/>
        <w:tabs>
          <w:tab w:val="left" w:pos="567"/>
        </w:tabs>
        <w:spacing w:after="360"/>
        <w:ind w:left="567" w:hanging="567"/>
        <w:rPr>
          <w:szCs w:val="24"/>
        </w:rPr>
      </w:pPr>
      <w:r>
        <w:rPr>
          <w:szCs w:val="24"/>
        </w:rPr>
        <w:t xml:space="preserve">31. </w:t>
      </w:r>
      <w:r>
        <w:rPr>
          <w:szCs w:val="24"/>
        </w:rPr>
        <w:tab/>
      </w:r>
      <w:r w:rsidR="00600B77">
        <w:rPr>
          <w:szCs w:val="24"/>
        </w:rPr>
        <w:t xml:space="preserve">The planning experts had usefully </w:t>
      </w:r>
      <w:r w:rsidR="00CB0026">
        <w:rPr>
          <w:szCs w:val="24"/>
        </w:rPr>
        <w:t>prepared</w:t>
      </w:r>
      <w:r w:rsidR="00600B77">
        <w:rPr>
          <w:szCs w:val="24"/>
        </w:rPr>
        <w:t xml:space="preserve"> a statement of agreed facts and issues from which I note that the following matters were agreed between them:</w:t>
      </w:r>
    </w:p>
    <w:p w14:paraId="2766C18A" w14:textId="6E6685A5" w:rsidR="00600B77" w:rsidRDefault="006B58CE" w:rsidP="001E33D1">
      <w:pPr>
        <w:pStyle w:val="Normal2"/>
        <w:tabs>
          <w:tab w:val="left" w:pos="993"/>
        </w:tabs>
        <w:spacing w:after="360"/>
        <w:ind w:left="993" w:hanging="567"/>
        <w:jc w:val="left"/>
        <w:rPr>
          <w:szCs w:val="24"/>
        </w:rPr>
      </w:pPr>
      <w:r>
        <w:rPr>
          <w:szCs w:val="24"/>
        </w:rPr>
        <w:tab/>
      </w:r>
      <w:r w:rsidR="004026B3">
        <w:rPr>
          <w:szCs w:val="24"/>
        </w:rPr>
        <w:t>(a)</w:t>
      </w:r>
      <w:r w:rsidR="001E33D1">
        <w:rPr>
          <w:szCs w:val="24"/>
        </w:rPr>
        <w:tab/>
      </w:r>
      <w:r w:rsidR="00600B77" w:rsidRPr="00520CBF">
        <w:rPr>
          <w:szCs w:val="24"/>
        </w:rPr>
        <w:t xml:space="preserve">There </w:t>
      </w:r>
      <w:r w:rsidR="00600B77">
        <w:rPr>
          <w:szCs w:val="24"/>
        </w:rPr>
        <w:t>wa</w:t>
      </w:r>
      <w:r w:rsidR="00600B77" w:rsidRPr="00520CBF">
        <w:rPr>
          <w:szCs w:val="24"/>
        </w:rPr>
        <w:t>s no realistic possibility that planning permission could have been obtained for residential development</w:t>
      </w:r>
      <w:r w:rsidR="00600B77">
        <w:rPr>
          <w:szCs w:val="24"/>
        </w:rPr>
        <w:t xml:space="preserve"> on the grazing land</w:t>
      </w:r>
      <w:r w:rsidR="00600B77" w:rsidRPr="00520CBF">
        <w:rPr>
          <w:szCs w:val="24"/>
        </w:rPr>
        <w:t xml:space="preserve"> at the valuation date. </w:t>
      </w:r>
      <w:r w:rsidR="00600B77" w:rsidRPr="00520CBF">
        <w:rPr>
          <w:szCs w:val="24"/>
        </w:rPr>
        <w:br/>
      </w:r>
      <w:r w:rsidR="00600B77" w:rsidRPr="00520CBF">
        <w:rPr>
          <w:szCs w:val="24"/>
        </w:rPr>
        <w:br/>
      </w:r>
      <w:r w:rsidR="00600B77">
        <w:rPr>
          <w:szCs w:val="24"/>
        </w:rPr>
        <w:t xml:space="preserve">(b) </w:t>
      </w:r>
      <w:r w:rsidR="00600B77">
        <w:rPr>
          <w:szCs w:val="24"/>
        </w:rPr>
        <w:tab/>
      </w:r>
      <w:r w:rsidR="00600B77" w:rsidRPr="00520CBF">
        <w:rPr>
          <w:szCs w:val="24"/>
        </w:rPr>
        <w:t xml:space="preserve">The site’s value at the valuation date could be affected by any ‘hope value’ ascribed to it by a potential purchaser. </w:t>
      </w:r>
      <w:r w:rsidR="00600B77">
        <w:rPr>
          <w:szCs w:val="24"/>
        </w:rPr>
        <w:t xml:space="preserve"> An</w:t>
      </w:r>
      <w:r w:rsidR="00600B77" w:rsidRPr="00520CBF">
        <w:rPr>
          <w:szCs w:val="24"/>
        </w:rPr>
        <w:t xml:space="preserve">y decision would be based on the potential purchaser’s view of the likelihood of planning permission being granted for an alternative use now or in the future. </w:t>
      </w:r>
    </w:p>
    <w:p w14:paraId="2C1B9085" w14:textId="154AB74B" w:rsidR="00600B77" w:rsidRPr="00A452DF" w:rsidRDefault="001E33D1" w:rsidP="001E33D1">
      <w:pPr>
        <w:pStyle w:val="Normal2"/>
        <w:tabs>
          <w:tab w:val="left" w:pos="993"/>
        </w:tabs>
        <w:spacing w:after="360"/>
        <w:ind w:left="993" w:hanging="426"/>
        <w:rPr>
          <w:szCs w:val="24"/>
        </w:rPr>
      </w:pPr>
      <w:r>
        <w:rPr>
          <w:szCs w:val="24"/>
        </w:rPr>
        <w:tab/>
      </w:r>
      <w:r w:rsidR="00600B77">
        <w:rPr>
          <w:szCs w:val="24"/>
        </w:rPr>
        <w:t xml:space="preserve">(c) </w:t>
      </w:r>
      <w:r w:rsidR="00600B77">
        <w:rPr>
          <w:szCs w:val="24"/>
        </w:rPr>
        <w:tab/>
      </w:r>
      <w:r w:rsidR="00600B77" w:rsidRPr="00520CBF">
        <w:rPr>
          <w:szCs w:val="24"/>
        </w:rPr>
        <w:t>Section 38(6) of the Planning and Compulsory Purchase Act 2004 requires that “If regard is to be had to the development plan for the purpose of any determination to be made under the planning Acts the determination must be made in accordance with the plan unless material considerations indicate otherwise”.</w:t>
      </w:r>
    </w:p>
    <w:p w14:paraId="3883F970" w14:textId="6E21FD21" w:rsidR="00600B77" w:rsidRDefault="001E33D1" w:rsidP="001E33D1">
      <w:pPr>
        <w:pStyle w:val="Normal2"/>
        <w:tabs>
          <w:tab w:val="left" w:pos="993"/>
        </w:tabs>
        <w:spacing w:after="360"/>
        <w:ind w:left="993" w:hanging="426"/>
        <w:rPr>
          <w:szCs w:val="24"/>
        </w:rPr>
      </w:pPr>
      <w:r>
        <w:rPr>
          <w:szCs w:val="24"/>
        </w:rPr>
        <w:tab/>
      </w:r>
      <w:r w:rsidR="00600B77">
        <w:rPr>
          <w:szCs w:val="24"/>
        </w:rPr>
        <w:t>(d)</w:t>
      </w:r>
      <w:r w:rsidR="00600B77" w:rsidRPr="00520CBF">
        <w:rPr>
          <w:szCs w:val="24"/>
        </w:rPr>
        <w:t xml:space="preserve"> </w:t>
      </w:r>
      <w:r w:rsidR="00600B77">
        <w:rPr>
          <w:szCs w:val="24"/>
        </w:rPr>
        <w:tab/>
        <w:t>P</w:t>
      </w:r>
      <w:r w:rsidR="00600B77" w:rsidRPr="00520CBF">
        <w:rPr>
          <w:szCs w:val="24"/>
        </w:rPr>
        <w:t xml:space="preserve">lanning consent for development other than that specifically prescribed within paragraphs 89 and 90 of the NPPF would be likely to require an alteration of the </w:t>
      </w:r>
      <w:r w:rsidR="00600B77">
        <w:rPr>
          <w:szCs w:val="24"/>
        </w:rPr>
        <w:t>g</w:t>
      </w:r>
      <w:r w:rsidR="00600B77" w:rsidRPr="00520CBF">
        <w:rPr>
          <w:szCs w:val="24"/>
        </w:rPr>
        <w:t xml:space="preserve">reen </w:t>
      </w:r>
      <w:r w:rsidR="00600B77">
        <w:rPr>
          <w:szCs w:val="24"/>
        </w:rPr>
        <w:t>b</w:t>
      </w:r>
      <w:r w:rsidR="00600B77" w:rsidRPr="00520CBF">
        <w:rPr>
          <w:szCs w:val="24"/>
        </w:rPr>
        <w:t xml:space="preserve">elt boundary by means of a review of the Development Plan. </w:t>
      </w:r>
      <w:r w:rsidR="00600B77">
        <w:rPr>
          <w:szCs w:val="24"/>
        </w:rPr>
        <w:t xml:space="preserve"> </w:t>
      </w:r>
      <w:r w:rsidR="00600B77" w:rsidRPr="00520CBF">
        <w:rPr>
          <w:szCs w:val="24"/>
        </w:rPr>
        <w:t>It should be assumed that built development would not occur within the portion of the site within Flood Zones 2 and 3.</w:t>
      </w:r>
    </w:p>
    <w:p w14:paraId="64FE3FA4" w14:textId="005BCE71" w:rsidR="00543BA1" w:rsidRPr="0018549D" w:rsidRDefault="00F87F37" w:rsidP="00A70C25">
      <w:pPr>
        <w:pStyle w:val="Normal2"/>
        <w:tabs>
          <w:tab w:val="left" w:pos="993"/>
        </w:tabs>
        <w:spacing w:after="360"/>
        <w:ind w:left="567"/>
        <w:rPr>
          <w:szCs w:val="24"/>
        </w:rPr>
      </w:pPr>
      <w:r>
        <w:rPr>
          <w:szCs w:val="24"/>
        </w:rPr>
        <w:t xml:space="preserve">In addition, both experts state in their reports that </w:t>
      </w:r>
      <w:r w:rsidRPr="002D0ADC">
        <w:rPr>
          <w:szCs w:val="24"/>
        </w:rPr>
        <w:t>that</w:t>
      </w:r>
      <w:r w:rsidRPr="00D308A8">
        <w:rPr>
          <w:szCs w:val="24"/>
        </w:rPr>
        <w:t xml:space="preserve"> housing need could not be satisfied without the </w:t>
      </w:r>
      <w:r>
        <w:rPr>
          <w:szCs w:val="24"/>
        </w:rPr>
        <w:t>allocation</w:t>
      </w:r>
      <w:r w:rsidRPr="00D308A8">
        <w:rPr>
          <w:szCs w:val="24"/>
        </w:rPr>
        <w:t xml:space="preserve"> of green belt land</w:t>
      </w:r>
      <w:r>
        <w:rPr>
          <w:szCs w:val="24"/>
        </w:rPr>
        <w:t xml:space="preserve"> for development.</w:t>
      </w:r>
      <w:r w:rsidR="00A70C25">
        <w:rPr>
          <w:szCs w:val="24"/>
        </w:rPr>
        <w:t xml:space="preserve">  </w:t>
      </w:r>
      <w:r w:rsidR="00AE4217">
        <w:rPr>
          <w:szCs w:val="24"/>
        </w:rPr>
        <w:t>Having set out the planning context I now turn to the evidence from the planning experts.</w:t>
      </w:r>
      <w:r w:rsidR="00DE60AA">
        <w:rPr>
          <w:szCs w:val="24"/>
        </w:rPr>
        <w:t xml:space="preserve">  </w:t>
      </w:r>
      <w:r w:rsidR="00D0554D" w:rsidRPr="00D0554D">
        <w:rPr>
          <w:szCs w:val="24"/>
        </w:rPr>
        <w:t xml:space="preserve">  </w:t>
      </w:r>
    </w:p>
    <w:p w14:paraId="04B9016D" w14:textId="0CD5AADF" w:rsidR="009006BB" w:rsidRPr="0052051F" w:rsidRDefault="002879D0" w:rsidP="00E7613F">
      <w:pPr>
        <w:pStyle w:val="Normal2"/>
        <w:spacing w:after="360"/>
        <w:jc w:val="left"/>
        <w:rPr>
          <w:i/>
          <w:iCs/>
          <w:szCs w:val="24"/>
        </w:rPr>
      </w:pPr>
      <w:r w:rsidRPr="0052051F">
        <w:rPr>
          <w:i/>
          <w:iCs/>
          <w:szCs w:val="24"/>
        </w:rPr>
        <w:t>Evidence for the Claimant</w:t>
      </w:r>
      <w:r w:rsidR="0052051F">
        <w:rPr>
          <w:i/>
          <w:iCs/>
          <w:szCs w:val="24"/>
        </w:rPr>
        <w:t xml:space="preserve"> </w:t>
      </w:r>
    </w:p>
    <w:p w14:paraId="222793A0" w14:textId="69EA50B6" w:rsidR="00B84E1B" w:rsidRDefault="00B84E1B" w:rsidP="00997058">
      <w:pPr>
        <w:pStyle w:val="Normal2"/>
        <w:numPr>
          <w:ilvl w:val="0"/>
          <w:numId w:val="36"/>
        </w:numPr>
        <w:spacing w:after="360"/>
        <w:ind w:left="567" w:hanging="720"/>
        <w:rPr>
          <w:i/>
          <w:iCs/>
          <w:szCs w:val="24"/>
        </w:rPr>
      </w:pPr>
      <w:r w:rsidRPr="0052051F">
        <w:rPr>
          <w:szCs w:val="24"/>
        </w:rPr>
        <w:t>Planning evidence for the claimant was given by Mr Paul Williams</w:t>
      </w:r>
      <w:r w:rsidR="00935E82" w:rsidRPr="0052051F">
        <w:rPr>
          <w:szCs w:val="24"/>
        </w:rPr>
        <w:t xml:space="preserve"> </w:t>
      </w:r>
      <w:r w:rsidR="008C5ACC" w:rsidRPr="0052051F">
        <w:rPr>
          <w:szCs w:val="24"/>
        </w:rPr>
        <w:t>MR</w:t>
      </w:r>
      <w:r w:rsidR="00D70D87" w:rsidRPr="0052051F">
        <w:rPr>
          <w:szCs w:val="24"/>
        </w:rPr>
        <w:t>TPI</w:t>
      </w:r>
      <w:r w:rsidRPr="0052051F">
        <w:rPr>
          <w:szCs w:val="24"/>
        </w:rPr>
        <w:t xml:space="preserve"> who is a</w:t>
      </w:r>
      <w:r>
        <w:rPr>
          <w:szCs w:val="24"/>
        </w:rPr>
        <w:t xml:space="preserve"> Chartered Town Planner and a Director at Mosaic Town Planning.  He has 32 </w:t>
      </w:r>
      <w:r w:rsidR="00EF2264">
        <w:rPr>
          <w:szCs w:val="24"/>
        </w:rPr>
        <w:t>years’ experience</w:t>
      </w:r>
      <w:r>
        <w:rPr>
          <w:szCs w:val="24"/>
        </w:rPr>
        <w:t xml:space="preserve"> and has spent most of his career in various roles based in the North West. </w:t>
      </w:r>
      <w:r w:rsidR="005A3074">
        <w:rPr>
          <w:szCs w:val="24"/>
        </w:rPr>
        <w:t xml:space="preserve"> The claimants </w:t>
      </w:r>
      <w:r w:rsidR="000B621D">
        <w:rPr>
          <w:szCs w:val="24"/>
        </w:rPr>
        <w:t>also submitted as evidence a report by How Planning</w:t>
      </w:r>
      <w:r w:rsidR="008F326A">
        <w:rPr>
          <w:szCs w:val="24"/>
        </w:rPr>
        <w:t xml:space="preserve"> but </w:t>
      </w:r>
      <w:r w:rsidR="008761D5">
        <w:rPr>
          <w:szCs w:val="24"/>
        </w:rPr>
        <w:t>did not call the author as an expert witness.</w:t>
      </w:r>
    </w:p>
    <w:p w14:paraId="0D642073" w14:textId="1D31DFC9" w:rsidR="00175D23" w:rsidRDefault="0014245D" w:rsidP="00DF3C1F">
      <w:pPr>
        <w:spacing w:after="360" w:line="256" w:lineRule="auto"/>
        <w:ind w:left="567" w:hanging="567"/>
        <w:jc w:val="both"/>
        <w:rPr>
          <w:szCs w:val="24"/>
        </w:rPr>
      </w:pPr>
      <w:r>
        <w:rPr>
          <w:szCs w:val="24"/>
        </w:rPr>
        <w:t>3</w:t>
      </w:r>
      <w:r w:rsidR="00997058">
        <w:rPr>
          <w:szCs w:val="24"/>
        </w:rPr>
        <w:t>3</w:t>
      </w:r>
      <w:r w:rsidR="00DF3C1F">
        <w:rPr>
          <w:szCs w:val="24"/>
        </w:rPr>
        <w:t xml:space="preserve">. </w:t>
      </w:r>
      <w:r w:rsidR="00DF3C1F">
        <w:rPr>
          <w:szCs w:val="24"/>
        </w:rPr>
        <w:tab/>
      </w:r>
      <w:r w:rsidR="00EB4637">
        <w:rPr>
          <w:szCs w:val="24"/>
        </w:rPr>
        <w:t xml:space="preserve">Mr Williams </w:t>
      </w:r>
      <w:r w:rsidR="00F13301" w:rsidRPr="00175D23">
        <w:rPr>
          <w:szCs w:val="24"/>
        </w:rPr>
        <w:t>consider</w:t>
      </w:r>
      <w:r w:rsidR="00F13301">
        <w:rPr>
          <w:szCs w:val="24"/>
        </w:rPr>
        <w:t xml:space="preserve">ed </w:t>
      </w:r>
      <w:r w:rsidR="00175D23">
        <w:rPr>
          <w:szCs w:val="24"/>
        </w:rPr>
        <w:t>that</w:t>
      </w:r>
      <w:r w:rsidR="00175D23" w:rsidRPr="00175D23">
        <w:rPr>
          <w:szCs w:val="24"/>
        </w:rPr>
        <w:t xml:space="preserve"> given there is existing development opposite the site at Norbury Hall </w:t>
      </w:r>
      <w:r w:rsidR="00175D23">
        <w:rPr>
          <w:szCs w:val="24"/>
        </w:rPr>
        <w:t>t</w:t>
      </w:r>
      <w:r w:rsidR="00175D23" w:rsidRPr="00175D23">
        <w:rPr>
          <w:szCs w:val="24"/>
        </w:rPr>
        <w:t xml:space="preserve">here </w:t>
      </w:r>
      <w:r w:rsidR="00175D23">
        <w:rPr>
          <w:szCs w:val="24"/>
        </w:rPr>
        <w:t>is</w:t>
      </w:r>
      <w:r w:rsidR="00175D23" w:rsidRPr="00175D23">
        <w:rPr>
          <w:szCs w:val="24"/>
        </w:rPr>
        <w:t xml:space="preserve"> no perception of a clear break between Hazel Grove and Po</w:t>
      </w:r>
      <w:r w:rsidR="00175D23">
        <w:rPr>
          <w:szCs w:val="24"/>
        </w:rPr>
        <w:t>y</w:t>
      </w:r>
      <w:r w:rsidR="00175D23" w:rsidRPr="00175D23">
        <w:rPr>
          <w:szCs w:val="24"/>
        </w:rPr>
        <w:t xml:space="preserve">nton.  He </w:t>
      </w:r>
      <w:r w:rsidR="00F13301" w:rsidRPr="00175D23">
        <w:rPr>
          <w:szCs w:val="24"/>
        </w:rPr>
        <w:t>qualifie</w:t>
      </w:r>
      <w:r w:rsidR="00F13301">
        <w:rPr>
          <w:szCs w:val="24"/>
        </w:rPr>
        <w:t>d</w:t>
      </w:r>
      <w:r w:rsidR="00F13301" w:rsidRPr="00175D23">
        <w:rPr>
          <w:szCs w:val="24"/>
        </w:rPr>
        <w:t xml:space="preserve"> </w:t>
      </w:r>
      <w:r w:rsidR="00175D23" w:rsidRPr="00175D23">
        <w:rPr>
          <w:szCs w:val="24"/>
        </w:rPr>
        <w:t xml:space="preserve">this assessment by </w:t>
      </w:r>
      <w:r w:rsidR="00602A9B">
        <w:rPr>
          <w:szCs w:val="24"/>
        </w:rPr>
        <w:t>refere</w:t>
      </w:r>
      <w:r w:rsidR="00A339C9">
        <w:rPr>
          <w:szCs w:val="24"/>
        </w:rPr>
        <w:t xml:space="preserve">nce to </w:t>
      </w:r>
      <w:r w:rsidR="00175D23" w:rsidRPr="00175D23">
        <w:rPr>
          <w:szCs w:val="24"/>
        </w:rPr>
        <w:t>an unbroken buffer of open land between Hazel Grove and Po</w:t>
      </w:r>
      <w:r w:rsidR="00197727">
        <w:rPr>
          <w:szCs w:val="24"/>
        </w:rPr>
        <w:t>yn</w:t>
      </w:r>
      <w:r w:rsidR="00175D23" w:rsidRPr="00175D23">
        <w:rPr>
          <w:szCs w:val="24"/>
        </w:rPr>
        <w:t>ton on the western side of London Road</w:t>
      </w:r>
      <w:r w:rsidR="00A339C9">
        <w:rPr>
          <w:szCs w:val="24"/>
        </w:rPr>
        <w:t>,</w:t>
      </w:r>
      <w:r w:rsidR="00175D23" w:rsidRPr="00175D23">
        <w:rPr>
          <w:szCs w:val="24"/>
        </w:rPr>
        <w:t xml:space="preserve"> to the </w:t>
      </w:r>
      <w:r w:rsidR="003D11A4" w:rsidRPr="00175D23">
        <w:rPr>
          <w:szCs w:val="24"/>
        </w:rPr>
        <w:t>southwest</w:t>
      </w:r>
      <w:r w:rsidR="00175D23" w:rsidRPr="00175D23">
        <w:rPr>
          <w:szCs w:val="24"/>
        </w:rPr>
        <w:t xml:space="preserve"> of the site.  He </w:t>
      </w:r>
      <w:r w:rsidR="00F13301" w:rsidRPr="00175D23">
        <w:rPr>
          <w:szCs w:val="24"/>
        </w:rPr>
        <w:t>sa</w:t>
      </w:r>
      <w:r w:rsidR="00F13301">
        <w:rPr>
          <w:szCs w:val="24"/>
        </w:rPr>
        <w:t>id</w:t>
      </w:r>
      <w:r w:rsidR="00F13301" w:rsidRPr="00175D23">
        <w:rPr>
          <w:szCs w:val="24"/>
        </w:rPr>
        <w:t xml:space="preserve"> </w:t>
      </w:r>
      <w:r w:rsidR="00175D23" w:rsidRPr="00175D23">
        <w:rPr>
          <w:szCs w:val="24"/>
        </w:rPr>
        <w:t xml:space="preserve">that the flood risk area surrounding the Norbury Brook means that if developed </w:t>
      </w:r>
      <w:r w:rsidR="00096CF7">
        <w:rPr>
          <w:szCs w:val="24"/>
        </w:rPr>
        <w:t>it</w:t>
      </w:r>
      <w:r w:rsidR="00175D23" w:rsidRPr="00175D23">
        <w:rPr>
          <w:szCs w:val="24"/>
        </w:rPr>
        <w:t xml:space="preserve"> would </w:t>
      </w:r>
      <w:r w:rsidR="001F1EC5">
        <w:rPr>
          <w:szCs w:val="24"/>
        </w:rPr>
        <w:t xml:space="preserve">still </w:t>
      </w:r>
      <w:r w:rsidR="00175D23" w:rsidRPr="00175D23">
        <w:rPr>
          <w:szCs w:val="24"/>
        </w:rPr>
        <w:t xml:space="preserve">be adjacent to a green corridor.  </w:t>
      </w:r>
      <w:r w:rsidR="00096CF7">
        <w:rPr>
          <w:szCs w:val="24"/>
        </w:rPr>
        <w:t>He also identifie</w:t>
      </w:r>
      <w:r w:rsidR="001F1EC5">
        <w:rPr>
          <w:szCs w:val="24"/>
        </w:rPr>
        <w:t>d</w:t>
      </w:r>
      <w:r w:rsidR="00096CF7">
        <w:rPr>
          <w:szCs w:val="24"/>
        </w:rPr>
        <w:t xml:space="preserve"> that </w:t>
      </w:r>
      <w:r w:rsidR="000A56DD">
        <w:rPr>
          <w:szCs w:val="24"/>
        </w:rPr>
        <w:t>C</w:t>
      </w:r>
      <w:r w:rsidR="00175D23" w:rsidRPr="00175D23">
        <w:rPr>
          <w:szCs w:val="24"/>
        </w:rPr>
        <w:t xml:space="preserve">ore </w:t>
      </w:r>
      <w:r w:rsidR="000A56DD">
        <w:rPr>
          <w:szCs w:val="24"/>
        </w:rPr>
        <w:t>S</w:t>
      </w:r>
      <w:r w:rsidR="00175D23" w:rsidRPr="00175D23">
        <w:rPr>
          <w:szCs w:val="24"/>
        </w:rPr>
        <w:t xml:space="preserve">trategy </w:t>
      </w:r>
      <w:r w:rsidR="000A56DD">
        <w:rPr>
          <w:szCs w:val="24"/>
        </w:rPr>
        <w:t>P</w:t>
      </w:r>
      <w:r w:rsidR="00175D23" w:rsidRPr="00175D23">
        <w:rPr>
          <w:szCs w:val="24"/>
        </w:rPr>
        <w:t xml:space="preserve">olicy H-3 </w:t>
      </w:r>
      <w:r w:rsidR="00360DAC">
        <w:rPr>
          <w:szCs w:val="24"/>
        </w:rPr>
        <w:t xml:space="preserve">of the </w:t>
      </w:r>
      <w:r w:rsidR="00CE529C">
        <w:rPr>
          <w:szCs w:val="24"/>
        </w:rPr>
        <w:t>Core Str</w:t>
      </w:r>
      <w:r w:rsidR="00CB393A">
        <w:rPr>
          <w:szCs w:val="24"/>
        </w:rPr>
        <w:t xml:space="preserve">ategy DPD </w:t>
      </w:r>
      <w:r w:rsidR="00096CF7">
        <w:rPr>
          <w:szCs w:val="24"/>
        </w:rPr>
        <w:t>regard</w:t>
      </w:r>
      <w:r w:rsidR="001F1EC5">
        <w:rPr>
          <w:szCs w:val="24"/>
        </w:rPr>
        <w:t>ed</w:t>
      </w:r>
      <w:r w:rsidR="00096CF7">
        <w:rPr>
          <w:szCs w:val="24"/>
        </w:rPr>
        <w:t xml:space="preserve"> </w:t>
      </w:r>
      <w:r w:rsidR="0061060C">
        <w:rPr>
          <w:szCs w:val="24"/>
        </w:rPr>
        <w:t>this area</w:t>
      </w:r>
      <w:r w:rsidR="00175D23" w:rsidRPr="00175D23">
        <w:rPr>
          <w:szCs w:val="24"/>
        </w:rPr>
        <w:t xml:space="preserve"> as a </w:t>
      </w:r>
      <w:r w:rsidR="000A56DD">
        <w:rPr>
          <w:szCs w:val="24"/>
        </w:rPr>
        <w:t>‘</w:t>
      </w:r>
      <w:r w:rsidR="00175D23" w:rsidRPr="00175D23">
        <w:rPr>
          <w:szCs w:val="24"/>
        </w:rPr>
        <w:t>hot area</w:t>
      </w:r>
      <w:r w:rsidR="000A56DD">
        <w:rPr>
          <w:szCs w:val="24"/>
        </w:rPr>
        <w:t>’</w:t>
      </w:r>
      <w:r w:rsidR="00175D23" w:rsidRPr="00175D23">
        <w:rPr>
          <w:szCs w:val="24"/>
        </w:rPr>
        <w:t xml:space="preserve"> for residential values.  </w:t>
      </w:r>
    </w:p>
    <w:p w14:paraId="55083D8F" w14:textId="396EE62B" w:rsidR="00123A60" w:rsidRDefault="00716E24" w:rsidP="009A7534">
      <w:pPr>
        <w:spacing w:after="360" w:line="256" w:lineRule="auto"/>
        <w:ind w:left="567" w:hanging="567"/>
        <w:jc w:val="both"/>
        <w:rPr>
          <w:szCs w:val="24"/>
        </w:rPr>
      </w:pPr>
      <w:r>
        <w:rPr>
          <w:szCs w:val="24"/>
        </w:rPr>
        <w:t>34</w:t>
      </w:r>
      <w:r w:rsidR="00DF3C1F">
        <w:rPr>
          <w:szCs w:val="24"/>
        </w:rPr>
        <w:t xml:space="preserve">. </w:t>
      </w:r>
      <w:r w:rsidR="00DF3C1F">
        <w:rPr>
          <w:szCs w:val="24"/>
        </w:rPr>
        <w:tab/>
      </w:r>
      <w:r w:rsidR="00B500EE">
        <w:rPr>
          <w:szCs w:val="24"/>
        </w:rPr>
        <w:t>In relation to permitted uses of the grazing land at the valuation date Mr William</w:t>
      </w:r>
      <w:r w:rsidR="003D1DE4">
        <w:rPr>
          <w:szCs w:val="24"/>
        </w:rPr>
        <w:t xml:space="preserve">s </w:t>
      </w:r>
      <w:r w:rsidR="00A55838">
        <w:rPr>
          <w:szCs w:val="24"/>
        </w:rPr>
        <w:t xml:space="preserve">concluded </w:t>
      </w:r>
      <w:r w:rsidR="0034536D">
        <w:rPr>
          <w:szCs w:val="24"/>
        </w:rPr>
        <w:t xml:space="preserve">that there is no realistic possibility of residential </w:t>
      </w:r>
      <w:r w:rsidR="006072C9">
        <w:rPr>
          <w:szCs w:val="24"/>
        </w:rPr>
        <w:t>development,</w:t>
      </w:r>
      <w:r w:rsidR="0023662A">
        <w:rPr>
          <w:szCs w:val="24"/>
        </w:rPr>
        <w:t xml:space="preserve"> but </w:t>
      </w:r>
      <w:r w:rsidR="001F1F61">
        <w:rPr>
          <w:szCs w:val="24"/>
        </w:rPr>
        <w:t xml:space="preserve">the site could have been </w:t>
      </w:r>
      <w:r w:rsidR="001F1F61">
        <w:rPr>
          <w:szCs w:val="24"/>
        </w:rPr>
        <w:lastRenderedPageBreak/>
        <w:t xml:space="preserve">used </w:t>
      </w:r>
      <w:r w:rsidR="0023662A">
        <w:rPr>
          <w:szCs w:val="24"/>
        </w:rPr>
        <w:t>for agricultur</w:t>
      </w:r>
      <w:r w:rsidR="000E1CDE">
        <w:rPr>
          <w:szCs w:val="24"/>
        </w:rPr>
        <w:t>e</w:t>
      </w:r>
      <w:r w:rsidR="0023662A">
        <w:rPr>
          <w:szCs w:val="24"/>
        </w:rPr>
        <w:t xml:space="preserve"> or for </w:t>
      </w:r>
      <w:r w:rsidR="008B7682">
        <w:rPr>
          <w:szCs w:val="24"/>
        </w:rPr>
        <w:t>outdoor sport and recreation.</w:t>
      </w:r>
      <w:r w:rsidR="00DC6D5B">
        <w:rPr>
          <w:szCs w:val="24"/>
        </w:rPr>
        <w:t xml:space="preserve">   He also consider</w:t>
      </w:r>
      <w:r w:rsidR="00A55838">
        <w:rPr>
          <w:szCs w:val="24"/>
        </w:rPr>
        <w:t>ed</w:t>
      </w:r>
      <w:r w:rsidR="00DC6D5B">
        <w:rPr>
          <w:szCs w:val="24"/>
        </w:rPr>
        <w:t xml:space="preserve"> that there </w:t>
      </w:r>
      <w:r w:rsidR="00FB2AC0">
        <w:rPr>
          <w:szCs w:val="24"/>
        </w:rPr>
        <w:t>was</w:t>
      </w:r>
      <w:r w:rsidR="00DC6D5B">
        <w:rPr>
          <w:szCs w:val="24"/>
        </w:rPr>
        <w:t xml:space="preserve"> scope for the </w:t>
      </w:r>
      <w:r w:rsidR="00042B94">
        <w:rPr>
          <w:szCs w:val="24"/>
        </w:rPr>
        <w:t xml:space="preserve">provision of affordable housing </w:t>
      </w:r>
      <w:r w:rsidR="0007594E">
        <w:rPr>
          <w:szCs w:val="24"/>
        </w:rPr>
        <w:t xml:space="preserve">through the Development Plan </w:t>
      </w:r>
      <w:r w:rsidR="000A42A8">
        <w:rPr>
          <w:szCs w:val="24"/>
        </w:rPr>
        <w:t xml:space="preserve">without an alteration of the </w:t>
      </w:r>
      <w:r w:rsidR="003415BC">
        <w:rPr>
          <w:szCs w:val="24"/>
        </w:rPr>
        <w:t>green belt</w:t>
      </w:r>
      <w:r w:rsidR="00636D2F">
        <w:rPr>
          <w:szCs w:val="24"/>
        </w:rPr>
        <w:t xml:space="preserve"> boundary </w:t>
      </w:r>
      <w:r w:rsidR="001225B3">
        <w:rPr>
          <w:szCs w:val="24"/>
        </w:rPr>
        <w:t xml:space="preserve">in accordance with </w:t>
      </w:r>
      <w:r w:rsidR="009108AC">
        <w:rPr>
          <w:szCs w:val="24"/>
        </w:rPr>
        <w:t>P</w:t>
      </w:r>
      <w:r w:rsidR="001225B3">
        <w:rPr>
          <w:szCs w:val="24"/>
        </w:rPr>
        <w:t>aragraph 89 of the NPPF.</w:t>
      </w:r>
      <w:r w:rsidR="00123A60" w:rsidRPr="00123A60">
        <w:rPr>
          <w:szCs w:val="24"/>
        </w:rPr>
        <w:t xml:space="preserve"> </w:t>
      </w:r>
    </w:p>
    <w:p w14:paraId="1B079F4A" w14:textId="6BED587B" w:rsidR="00D639EF" w:rsidRDefault="00716E24" w:rsidP="00DF3C1F">
      <w:pPr>
        <w:spacing w:after="360" w:line="256" w:lineRule="auto"/>
        <w:ind w:left="567" w:hanging="567"/>
        <w:jc w:val="both"/>
        <w:rPr>
          <w:szCs w:val="24"/>
        </w:rPr>
      </w:pPr>
      <w:r>
        <w:rPr>
          <w:szCs w:val="24"/>
        </w:rPr>
        <w:t>3</w:t>
      </w:r>
      <w:r w:rsidR="00997058">
        <w:rPr>
          <w:szCs w:val="24"/>
        </w:rPr>
        <w:t>5</w:t>
      </w:r>
      <w:r w:rsidR="00DF3C1F">
        <w:rPr>
          <w:szCs w:val="24"/>
        </w:rPr>
        <w:t>.</w:t>
      </w:r>
      <w:r w:rsidR="00DF3C1F">
        <w:rPr>
          <w:szCs w:val="24"/>
        </w:rPr>
        <w:tab/>
      </w:r>
      <w:r w:rsidR="00D639EF">
        <w:rPr>
          <w:szCs w:val="24"/>
        </w:rPr>
        <w:t xml:space="preserve">I have already set out </w:t>
      </w:r>
      <w:r w:rsidR="005308EF">
        <w:rPr>
          <w:szCs w:val="24"/>
        </w:rPr>
        <w:t xml:space="preserve">details of the housing requirement for the </w:t>
      </w:r>
      <w:r w:rsidR="00436344">
        <w:rPr>
          <w:szCs w:val="24"/>
        </w:rPr>
        <w:t>Borough,</w:t>
      </w:r>
      <w:r w:rsidR="00817DCF">
        <w:rPr>
          <w:szCs w:val="24"/>
        </w:rPr>
        <w:t xml:space="preserve"> but Mr Williams </w:t>
      </w:r>
      <w:r w:rsidR="00AF25D4">
        <w:rPr>
          <w:szCs w:val="24"/>
        </w:rPr>
        <w:t xml:space="preserve">provided </w:t>
      </w:r>
      <w:r w:rsidR="00817DCF">
        <w:rPr>
          <w:szCs w:val="24"/>
        </w:rPr>
        <w:t>additional analysis</w:t>
      </w:r>
      <w:r w:rsidR="002B16FD">
        <w:rPr>
          <w:szCs w:val="24"/>
        </w:rPr>
        <w:t xml:space="preserve">.   </w:t>
      </w:r>
      <w:r w:rsidR="00312E03" w:rsidRPr="00312E03">
        <w:rPr>
          <w:szCs w:val="24"/>
        </w:rPr>
        <w:t xml:space="preserve">He </w:t>
      </w:r>
      <w:r w:rsidR="00AF25D4" w:rsidRPr="00312E03">
        <w:rPr>
          <w:szCs w:val="24"/>
        </w:rPr>
        <w:t>s</w:t>
      </w:r>
      <w:r w:rsidR="00AF25D4">
        <w:rPr>
          <w:szCs w:val="24"/>
        </w:rPr>
        <w:t>aid</w:t>
      </w:r>
      <w:r w:rsidR="00AF25D4" w:rsidRPr="00312E03">
        <w:rPr>
          <w:szCs w:val="24"/>
        </w:rPr>
        <w:t xml:space="preserve"> </w:t>
      </w:r>
      <w:r w:rsidR="00312E03" w:rsidRPr="00312E03">
        <w:rPr>
          <w:szCs w:val="24"/>
        </w:rPr>
        <w:t xml:space="preserve">that the </w:t>
      </w:r>
      <w:r w:rsidR="00436344">
        <w:rPr>
          <w:szCs w:val="24"/>
        </w:rPr>
        <w:t>C</w:t>
      </w:r>
      <w:r w:rsidR="00312E03" w:rsidRPr="00312E03">
        <w:rPr>
          <w:szCs w:val="24"/>
        </w:rPr>
        <w:t xml:space="preserve">ore </w:t>
      </w:r>
      <w:r w:rsidR="00436344">
        <w:rPr>
          <w:szCs w:val="24"/>
        </w:rPr>
        <w:t>S</w:t>
      </w:r>
      <w:r w:rsidR="00312E03" w:rsidRPr="00312E03">
        <w:rPr>
          <w:szCs w:val="24"/>
        </w:rPr>
        <w:t xml:space="preserve">trategy housing requirement was derived from the North West </w:t>
      </w:r>
      <w:r w:rsidR="004C3DE6">
        <w:rPr>
          <w:szCs w:val="24"/>
        </w:rPr>
        <w:t>R</w:t>
      </w:r>
      <w:r w:rsidR="00312E03" w:rsidRPr="00312E03">
        <w:rPr>
          <w:szCs w:val="24"/>
        </w:rPr>
        <w:t xml:space="preserve">egional </w:t>
      </w:r>
      <w:r w:rsidR="004C3DE6">
        <w:rPr>
          <w:szCs w:val="24"/>
        </w:rPr>
        <w:t>S</w:t>
      </w:r>
      <w:r w:rsidR="00312E03" w:rsidRPr="00312E03">
        <w:rPr>
          <w:szCs w:val="24"/>
        </w:rPr>
        <w:t xml:space="preserve">patial </w:t>
      </w:r>
      <w:r w:rsidR="004C3DE6">
        <w:rPr>
          <w:szCs w:val="24"/>
        </w:rPr>
        <w:t>S</w:t>
      </w:r>
      <w:r w:rsidR="00312E03" w:rsidRPr="00312E03">
        <w:rPr>
          <w:szCs w:val="24"/>
        </w:rPr>
        <w:t xml:space="preserve">trategy. </w:t>
      </w:r>
      <w:r w:rsidR="005F1347">
        <w:rPr>
          <w:szCs w:val="24"/>
        </w:rPr>
        <w:t xml:space="preserve">  </w:t>
      </w:r>
      <w:r w:rsidR="001E0900" w:rsidRPr="001E0900">
        <w:rPr>
          <w:szCs w:val="24"/>
        </w:rPr>
        <w:t xml:space="preserve">He </w:t>
      </w:r>
      <w:r w:rsidR="00BD11EB" w:rsidRPr="001E0900">
        <w:rPr>
          <w:szCs w:val="24"/>
        </w:rPr>
        <w:t>explain</w:t>
      </w:r>
      <w:r w:rsidR="00BD11EB">
        <w:rPr>
          <w:szCs w:val="24"/>
        </w:rPr>
        <w:t>ed</w:t>
      </w:r>
      <w:r w:rsidR="00BD11EB" w:rsidRPr="001E0900">
        <w:rPr>
          <w:szCs w:val="24"/>
        </w:rPr>
        <w:t xml:space="preserve"> </w:t>
      </w:r>
      <w:r w:rsidR="00A63402" w:rsidRPr="00A63402">
        <w:rPr>
          <w:szCs w:val="24"/>
        </w:rPr>
        <w:t xml:space="preserve">that the 2012 iteration of the NPPF had redefined the method of arriving at housing need and the local authority should use </w:t>
      </w:r>
      <w:r w:rsidR="00E91728" w:rsidRPr="00E91728">
        <w:rPr>
          <w:szCs w:val="24"/>
        </w:rPr>
        <w:t xml:space="preserve">an alternative approach based on </w:t>
      </w:r>
      <w:r w:rsidR="00586B3F">
        <w:rPr>
          <w:szCs w:val="24"/>
        </w:rPr>
        <w:t>‘</w:t>
      </w:r>
      <w:r w:rsidR="00E91728" w:rsidRPr="00E91728">
        <w:rPr>
          <w:szCs w:val="24"/>
        </w:rPr>
        <w:t>objectively assessed need</w:t>
      </w:r>
      <w:r w:rsidR="00586B3F">
        <w:rPr>
          <w:szCs w:val="24"/>
        </w:rPr>
        <w:t>’</w:t>
      </w:r>
      <w:r w:rsidR="006C3294">
        <w:rPr>
          <w:szCs w:val="24"/>
        </w:rPr>
        <w:t>(OAN)</w:t>
      </w:r>
      <w:r w:rsidR="00E91728" w:rsidRPr="00E91728">
        <w:rPr>
          <w:szCs w:val="24"/>
        </w:rPr>
        <w:t xml:space="preserve">. </w:t>
      </w:r>
      <w:r w:rsidR="004C3DE6" w:rsidRPr="004C3DE6">
        <w:rPr>
          <w:szCs w:val="24"/>
        </w:rPr>
        <w:t xml:space="preserve">Accordingly, the </w:t>
      </w:r>
      <w:r w:rsidR="008F1F99">
        <w:rPr>
          <w:szCs w:val="24"/>
        </w:rPr>
        <w:t>C</w:t>
      </w:r>
      <w:r w:rsidR="004C3DE6" w:rsidRPr="004C3DE6">
        <w:rPr>
          <w:szCs w:val="24"/>
        </w:rPr>
        <w:t xml:space="preserve">ore </w:t>
      </w:r>
      <w:r w:rsidR="008F1F99">
        <w:rPr>
          <w:szCs w:val="24"/>
        </w:rPr>
        <w:t>S</w:t>
      </w:r>
      <w:r w:rsidR="004C3DE6" w:rsidRPr="004C3DE6">
        <w:rPr>
          <w:szCs w:val="24"/>
        </w:rPr>
        <w:t xml:space="preserve">trategy was out of date at the valuation date because it did not contain an </w:t>
      </w:r>
      <w:r w:rsidR="005F1347">
        <w:rPr>
          <w:szCs w:val="24"/>
        </w:rPr>
        <w:t xml:space="preserve">assessment of </w:t>
      </w:r>
      <w:r w:rsidR="008F1F99">
        <w:rPr>
          <w:szCs w:val="24"/>
        </w:rPr>
        <w:t>OAN</w:t>
      </w:r>
      <w:r w:rsidR="004C3DE6" w:rsidRPr="004C3DE6">
        <w:rPr>
          <w:szCs w:val="24"/>
        </w:rPr>
        <w:t xml:space="preserve"> and because the </w:t>
      </w:r>
      <w:r w:rsidR="008F1F99">
        <w:rPr>
          <w:szCs w:val="24"/>
        </w:rPr>
        <w:t>C</w:t>
      </w:r>
      <w:r w:rsidR="004C3DE6" w:rsidRPr="004C3DE6">
        <w:rPr>
          <w:szCs w:val="24"/>
        </w:rPr>
        <w:t xml:space="preserve">ouncil could not demonstrate five years supply of housing </w:t>
      </w:r>
      <w:r w:rsidR="00223905" w:rsidRPr="004C3DE6">
        <w:rPr>
          <w:szCs w:val="24"/>
        </w:rPr>
        <w:t>land</w:t>
      </w:r>
      <w:r w:rsidR="00223905">
        <w:rPr>
          <w:szCs w:val="24"/>
        </w:rPr>
        <w:t>.</w:t>
      </w:r>
      <w:r w:rsidR="00223905" w:rsidRPr="001B2265">
        <w:rPr>
          <w:szCs w:val="24"/>
        </w:rPr>
        <w:t xml:space="preserve"> Taking</w:t>
      </w:r>
      <w:r w:rsidR="001B2265" w:rsidRPr="001B2265">
        <w:rPr>
          <w:szCs w:val="24"/>
        </w:rPr>
        <w:t xml:space="preserve"> these circumstances into account </w:t>
      </w:r>
      <w:r w:rsidR="000B4B07">
        <w:rPr>
          <w:szCs w:val="24"/>
        </w:rPr>
        <w:t>P</w:t>
      </w:r>
      <w:r w:rsidR="001B2265" w:rsidRPr="001B2265">
        <w:rPr>
          <w:szCs w:val="24"/>
        </w:rPr>
        <w:t xml:space="preserve">aragraph 213 of the NPPF </w:t>
      </w:r>
      <w:r w:rsidR="008F1F99">
        <w:rPr>
          <w:szCs w:val="24"/>
        </w:rPr>
        <w:t xml:space="preserve">anticipated that </w:t>
      </w:r>
      <w:r w:rsidR="001B2265" w:rsidRPr="001B2265">
        <w:rPr>
          <w:szCs w:val="24"/>
        </w:rPr>
        <w:t xml:space="preserve">the plan </w:t>
      </w:r>
      <w:r w:rsidR="008F1F99">
        <w:rPr>
          <w:szCs w:val="24"/>
        </w:rPr>
        <w:t>would</w:t>
      </w:r>
      <w:r w:rsidR="001B2265" w:rsidRPr="001B2265">
        <w:rPr>
          <w:szCs w:val="24"/>
        </w:rPr>
        <w:t xml:space="preserve"> be revised as quickly as possible. </w:t>
      </w:r>
      <w:r w:rsidR="00BD11EB">
        <w:rPr>
          <w:szCs w:val="24"/>
        </w:rPr>
        <w:t xml:space="preserve"> </w:t>
      </w:r>
      <w:r w:rsidR="001B2265" w:rsidRPr="001B2265">
        <w:rPr>
          <w:szCs w:val="24"/>
        </w:rPr>
        <w:t xml:space="preserve">He </w:t>
      </w:r>
      <w:r w:rsidR="00AB4E6F">
        <w:rPr>
          <w:szCs w:val="24"/>
        </w:rPr>
        <w:t>explained</w:t>
      </w:r>
      <w:r w:rsidR="00AB4E6F" w:rsidRPr="001B2265">
        <w:rPr>
          <w:szCs w:val="24"/>
        </w:rPr>
        <w:t xml:space="preserve"> </w:t>
      </w:r>
      <w:r w:rsidR="001B2265" w:rsidRPr="001B2265">
        <w:rPr>
          <w:szCs w:val="24"/>
        </w:rPr>
        <w:t xml:space="preserve">that in a series of other local plans since the publication of the NPPF </w:t>
      </w:r>
      <w:r w:rsidR="00595D30" w:rsidRPr="00595D30">
        <w:rPr>
          <w:szCs w:val="24"/>
        </w:rPr>
        <w:t xml:space="preserve">a significant housing shortfall was regarded as sufficient to constitute exceptional circumstances as required by the NPPF to review the </w:t>
      </w:r>
      <w:r w:rsidR="003415BC">
        <w:rPr>
          <w:szCs w:val="24"/>
        </w:rPr>
        <w:t>green belt</w:t>
      </w:r>
      <w:r w:rsidR="002F11A1">
        <w:rPr>
          <w:szCs w:val="24"/>
        </w:rPr>
        <w:t>.</w:t>
      </w:r>
      <w:r w:rsidR="00595D30" w:rsidRPr="00595D30">
        <w:rPr>
          <w:szCs w:val="24"/>
        </w:rPr>
        <w:t xml:space="preserve"> </w:t>
      </w:r>
      <w:r w:rsidR="004C3DE6" w:rsidRPr="004C3DE6">
        <w:rPr>
          <w:szCs w:val="24"/>
        </w:rPr>
        <w:t xml:space="preserve"> </w:t>
      </w:r>
    </w:p>
    <w:p w14:paraId="18AE9828" w14:textId="22BDA890" w:rsidR="00070290" w:rsidRPr="00070290" w:rsidRDefault="00716E24" w:rsidP="00DF3C1F">
      <w:pPr>
        <w:spacing w:after="360" w:line="256" w:lineRule="auto"/>
        <w:ind w:left="567" w:hanging="567"/>
        <w:jc w:val="both"/>
        <w:rPr>
          <w:szCs w:val="24"/>
        </w:rPr>
      </w:pPr>
      <w:r>
        <w:rPr>
          <w:szCs w:val="24"/>
        </w:rPr>
        <w:t>3</w:t>
      </w:r>
      <w:r w:rsidR="00997058">
        <w:rPr>
          <w:szCs w:val="24"/>
        </w:rPr>
        <w:t>6</w:t>
      </w:r>
      <w:r w:rsidR="00DF3C1F">
        <w:rPr>
          <w:szCs w:val="24"/>
        </w:rPr>
        <w:t>.</w:t>
      </w:r>
      <w:r w:rsidR="00DF3C1F">
        <w:rPr>
          <w:szCs w:val="24"/>
        </w:rPr>
        <w:tab/>
      </w:r>
      <w:r w:rsidR="00070290">
        <w:rPr>
          <w:szCs w:val="24"/>
        </w:rPr>
        <w:t xml:space="preserve">Mr Williams </w:t>
      </w:r>
      <w:r w:rsidR="00AB4E6F">
        <w:rPr>
          <w:szCs w:val="24"/>
        </w:rPr>
        <w:t xml:space="preserve">confirmed </w:t>
      </w:r>
      <w:r w:rsidR="00F63B20">
        <w:rPr>
          <w:szCs w:val="24"/>
        </w:rPr>
        <w:t xml:space="preserve">that </w:t>
      </w:r>
      <w:r w:rsidR="00070290" w:rsidRPr="00070290">
        <w:rPr>
          <w:szCs w:val="24"/>
        </w:rPr>
        <w:t xml:space="preserve">the North West Regional Spatial Strategy was </w:t>
      </w:r>
      <w:r w:rsidR="00F63B20">
        <w:rPr>
          <w:szCs w:val="24"/>
        </w:rPr>
        <w:t>revoked</w:t>
      </w:r>
      <w:r w:rsidR="00070290" w:rsidRPr="00070290">
        <w:rPr>
          <w:szCs w:val="24"/>
        </w:rPr>
        <w:t xml:space="preserve"> in March 2013.</w:t>
      </w:r>
      <w:r w:rsidR="00981E77">
        <w:rPr>
          <w:szCs w:val="24"/>
        </w:rPr>
        <w:t xml:space="preserve">  He </w:t>
      </w:r>
      <w:r w:rsidR="003579D6">
        <w:rPr>
          <w:szCs w:val="24"/>
        </w:rPr>
        <w:t xml:space="preserve">said </w:t>
      </w:r>
      <w:r w:rsidR="00981E77">
        <w:rPr>
          <w:szCs w:val="24"/>
        </w:rPr>
        <w:t xml:space="preserve">that the </w:t>
      </w:r>
      <w:r w:rsidR="00301A71">
        <w:rPr>
          <w:szCs w:val="24"/>
        </w:rPr>
        <w:t>N</w:t>
      </w:r>
      <w:r w:rsidR="00070290" w:rsidRPr="00070290">
        <w:rPr>
          <w:szCs w:val="24"/>
        </w:rPr>
        <w:t xml:space="preserve">PPF required local planning authorities to </w:t>
      </w:r>
      <w:r w:rsidR="00070290" w:rsidRPr="00070290">
        <w:rPr>
          <w:b/>
          <w:bCs/>
          <w:i/>
          <w:iCs/>
          <w:szCs w:val="24"/>
        </w:rPr>
        <w:t>“</w:t>
      </w:r>
      <w:r w:rsidR="00070290" w:rsidRPr="00070290">
        <w:rPr>
          <w:szCs w:val="24"/>
        </w:rPr>
        <w:t xml:space="preserve">use their evidence base to ensure that their Local Plan meets the full, objectively assessed needs for market and affordable housing in the housing market area, as far as is consistent with the policies set out in this Framework”. </w:t>
      </w:r>
      <w:r w:rsidR="00301A71">
        <w:rPr>
          <w:szCs w:val="24"/>
        </w:rPr>
        <w:t xml:space="preserve">  In other words, they should </w:t>
      </w:r>
      <w:r w:rsidR="009A395B">
        <w:rPr>
          <w:szCs w:val="24"/>
        </w:rPr>
        <w:t>undertake</w:t>
      </w:r>
      <w:r w:rsidR="00301A71">
        <w:rPr>
          <w:szCs w:val="24"/>
        </w:rPr>
        <w:t xml:space="preserve"> a</w:t>
      </w:r>
      <w:r w:rsidR="009A395B">
        <w:rPr>
          <w:szCs w:val="24"/>
        </w:rPr>
        <w:t>n</w:t>
      </w:r>
      <w:r w:rsidR="00301A71">
        <w:rPr>
          <w:szCs w:val="24"/>
        </w:rPr>
        <w:t xml:space="preserve"> </w:t>
      </w:r>
      <w:r w:rsidR="00301A71" w:rsidRPr="00070290">
        <w:rPr>
          <w:szCs w:val="24"/>
        </w:rPr>
        <w:t>OAN</w:t>
      </w:r>
      <w:r w:rsidR="007064C2">
        <w:rPr>
          <w:szCs w:val="24"/>
        </w:rPr>
        <w:t xml:space="preserve"> review</w:t>
      </w:r>
      <w:r w:rsidR="00A32ECB">
        <w:rPr>
          <w:szCs w:val="24"/>
        </w:rPr>
        <w:t>.</w:t>
      </w:r>
    </w:p>
    <w:p w14:paraId="74850DCF" w14:textId="327E3A05" w:rsidR="00E048F0" w:rsidRPr="00D10953" w:rsidRDefault="00716E24" w:rsidP="00DF3C1F">
      <w:pPr>
        <w:spacing w:after="360" w:line="256" w:lineRule="auto"/>
        <w:ind w:left="567" w:hanging="567"/>
        <w:jc w:val="both"/>
        <w:rPr>
          <w:szCs w:val="24"/>
        </w:rPr>
      </w:pPr>
      <w:r>
        <w:rPr>
          <w:szCs w:val="24"/>
        </w:rPr>
        <w:t>3</w:t>
      </w:r>
      <w:r w:rsidR="00997058">
        <w:rPr>
          <w:szCs w:val="24"/>
        </w:rPr>
        <w:t>7</w:t>
      </w:r>
      <w:r w:rsidR="00DF3C1F">
        <w:rPr>
          <w:szCs w:val="24"/>
        </w:rPr>
        <w:t>.</w:t>
      </w:r>
      <w:r w:rsidR="00DF3C1F">
        <w:rPr>
          <w:szCs w:val="24"/>
        </w:rPr>
        <w:tab/>
      </w:r>
      <w:r w:rsidR="0020247F" w:rsidRPr="00D10953">
        <w:rPr>
          <w:szCs w:val="24"/>
        </w:rPr>
        <w:t>N</w:t>
      </w:r>
      <w:r w:rsidR="00F161CD" w:rsidRPr="00D10953">
        <w:rPr>
          <w:szCs w:val="24"/>
        </w:rPr>
        <w:t>o</w:t>
      </w:r>
      <w:r w:rsidR="0020247F" w:rsidRPr="00D10953">
        <w:rPr>
          <w:szCs w:val="24"/>
        </w:rPr>
        <w:t xml:space="preserve"> assessment of</w:t>
      </w:r>
      <w:r w:rsidR="00070290" w:rsidRPr="00D10953">
        <w:rPr>
          <w:szCs w:val="24"/>
        </w:rPr>
        <w:t xml:space="preserve"> OAN for Stockport was available at the </w:t>
      </w:r>
      <w:r w:rsidR="00DD1FF7" w:rsidRPr="00D10953">
        <w:rPr>
          <w:szCs w:val="24"/>
        </w:rPr>
        <w:t>v</w:t>
      </w:r>
      <w:r w:rsidR="00070290" w:rsidRPr="00D10953">
        <w:rPr>
          <w:szCs w:val="24"/>
        </w:rPr>
        <w:t xml:space="preserve">aluation </w:t>
      </w:r>
      <w:r w:rsidR="00DD1FF7" w:rsidRPr="00D10953">
        <w:rPr>
          <w:szCs w:val="24"/>
        </w:rPr>
        <w:t>d</w:t>
      </w:r>
      <w:r w:rsidR="00070290" w:rsidRPr="00D10953">
        <w:rPr>
          <w:szCs w:val="24"/>
        </w:rPr>
        <w:t xml:space="preserve">ate. </w:t>
      </w:r>
      <w:r w:rsidR="0020247F" w:rsidRPr="00D10953">
        <w:rPr>
          <w:szCs w:val="24"/>
        </w:rPr>
        <w:t>I</w:t>
      </w:r>
      <w:r w:rsidR="00F72860" w:rsidRPr="00D10953">
        <w:rPr>
          <w:szCs w:val="24"/>
        </w:rPr>
        <w:t xml:space="preserve">n </w:t>
      </w:r>
      <w:r w:rsidR="0020247F" w:rsidRPr="00D10953">
        <w:rPr>
          <w:szCs w:val="24"/>
        </w:rPr>
        <w:t>Mr Williams’</w:t>
      </w:r>
      <w:r w:rsidR="00070290" w:rsidRPr="00D10953">
        <w:rPr>
          <w:szCs w:val="24"/>
        </w:rPr>
        <w:t xml:space="preserve"> experience it was widely </w:t>
      </w:r>
      <w:r w:rsidR="0020247F" w:rsidRPr="00D10953">
        <w:rPr>
          <w:szCs w:val="24"/>
        </w:rPr>
        <w:t>assumed</w:t>
      </w:r>
      <w:r w:rsidR="00070290" w:rsidRPr="00D10953">
        <w:rPr>
          <w:szCs w:val="24"/>
        </w:rPr>
        <w:t xml:space="preserve"> by planning and development professionals that </w:t>
      </w:r>
      <w:r w:rsidR="000B67B5" w:rsidRPr="00D10953">
        <w:rPr>
          <w:szCs w:val="24"/>
        </w:rPr>
        <w:t>the OAN</w:t>
      </w:r>
      <w:r w:rsidR="00070290" w:rsidRPr="00D10953">
        <w:rPr>
          <w:szCs w:val="24"/>
        </w:rPr>
        <w:t xml:space="preserve"> </w:t>
      </w:r>
      <w:r w:rsidR="0020247F" w:rsidRPr="00D10953">
        <w:rPr>
          <w:szCs w:val="24"/>
        </w:rPr>
        <w:t xml:space="preserve">was </w:t>
      </w:r>
      <w:r w:rsidR="00070290" w:rsidRPr="00D10953">
        <w:rPr>
          <w:szCs w:val="24"/>
        </w:rPr>
        <w:t xml:space="preserve">substantially greater than the policy-led Core Strategy </w:t>
      </w:r>
      <w:r w:rsidR="0020247F" w:rsidRPr="00D10953">
        <w:rPr>
          <w:szCs w:val="24"/>
        </w:rPr>
        <w:t>assessment of housing need</w:t>
      </w:r>
      <w:r w:rsidR="00553B64" w:rsidRPr="00D10953">
        <w:rPr>
          <w:szCs w:val="24"/>
        </w:rPr>
        <w:t>.</w:t>
      </w:r>
    </w:p>
    <w:p w14:paraId="7D0FEFFF" w14:textId="0DD173B1" w:rsidR="00070290" w:rsidRDefault="00716E24" w:rsidP="00DF3C1F">
      <w:pPr>
        <w:spacing w:after="360" w:line="256" w:lineRule="auto"/>
        <w:ind w:left="567" w:hanging="567"/>
        <w:jc w:val="both"/>
        <w:rPr>
          <w:szCs w:val="24"/>
        </w:rPr>
      </w:pPr>
      <w:r w:rsidRPr="00D10953">
        <w:rPr>
          <w:szCs w:val="24"/>
        </w:rPr>
        <w:t>3</w:t>
      </w:r>
      <w:r w:rsidR="00997058">
        <w:rPr>
          <w:szCs w:val="24"/>
        </w:rPr>
        <w:t>8</w:t>
      </w:r>
      <w:r w:rsidR="00DF3C1F" w:rsidRPr="00D10953">
        <w:rPr>
          <w:szCs w:val="24"/>
        </w:rPr>
        <w:t>.</w:t>
      </w:r>
      <w:r w:rsidR="00DF3C1F" w:rsidRPr="00D10953">
        <w:rPr>
          <w:szCs w:val="24"/>
        </w:rPr>
        <w:tab/>
      </w:r>
      <w:r w:rsidR="008F1F99" w:rsidRPr="00D10953">
        <w:rPr>
          <w:szCs w:val="24"/>
        </w:rPr>
        <w:t>H</w:t>
      </w:r>
      <w:r w:rsidR="00A45216" w:rsidRPr="00D10953">
        <w:rPr>
          <w:szCs w:val="24"/>
        </w:rPr>
        <w:t xml:space="preserve">is view </w:t>
      </w:r>
      <w:r w:rsidR="00390261" w:rsidRPr="00D10953">
        <w:rPr>
          <w:szCs w:val="24"/>
        </w:rPr>
        <w:t xml:space="preserve">was </w:t>
      </w:r>
      <w:r w:rsidR="00A45216" w:rsidRPr="00D10953">
        <w:rPr>
          <w:szCs w:val="24"/>
        </w:rPr>
        <w:t xml:space="preserve">that </w:t>
      </w:r>
      <w:r w:rsidR="00B12D62" w:rsidRPr="00D10953">
        <w:rPr>
          <w:szCs w:val="24"/>
        </w:rPr>
        <w:t>‘</w:t>
      </w:r>
      <w:r w:rsidR="00112C29" w:rsidRPr="00D10953">
        <w:rPr>
          <w:szCs w:val="24"/>
        </w:rPr>
        <w:t xml:space="preserve">it </w:t>
      </w:r>
      <w:r w:rsidR="00070290" w:rsidRPr="00D10953">
        <w:rPr>
          <w:szCs w:val="24"/>
        </w:rPr>
        <w:t>would seem futile to now estimate a figure from data which would have been available at the time, when evidence published in 2016 for GMSF performs the exercise with the starting point of the 2012-based data. This identified an OAN of for Stockport of 20,212 dwellings between 2015-2035, equating to 1,011 per annum.</w:t>
      </w:r>
      <w:r w:rsidR="00161072" w:rsidRPr="00D10953">
        <w:rPr>
          <w:szCs w:val="24"/>
        </w:rPr>
        <w:t>’</w:t>
      </w:r>
      <w:r w:rsidR="00070290" w:rsidRPr="00D10953">
        <w:rPr>
          <w:szCs w:val="24"/>
        </w:rPr>
        <w:t xml:space="preserve"> </w:t>
      </w:r>
      <w:r w:rsidR="00161072" w:rsidRPr="00D10953">
        <w:rPr>
          <w:szCs w:val="24"/>
        </w:rPr>
        <w:t xml:space="preserve">He </w:t>
      </w:r>
      <w:r w:rsidR="00291D74" w:rsidRPr="00D10953">
        <w:rPr>
          <w:szCs w:val="24"/>
        </w:rPr>
        <w:t xml:space="preserve">saw </w:t>
      </w:r>
      <w:r w:rsidR="00070290" w:rsidRPr="00D10953">
        <w:rPr>
          <w:szCs w:val="24"/>
        </w:rPr>
        <w:t>no reason to assume that an analysis undertaken in March 2015 would have been materially different.</w:t>
      </w:r>
      <w:r w:rsidR="00070290" w:rsidRPr="00070290">
        <w:rPr>
          <w:szCs w:val="24"/>
        </w:rPr>
        <w:t xml:space="preserve"> </w:t>
      </w:r>
    </w:p>
    <w:p w14:paraId="6D0D3BAA" w14:textId="6EE6061F" w:rsidR="00CA1CFB" w:rsidRDefault="00997058" w:rsidP="009207DC">
      <w:pPr>
        <w:spacing w:after="360" w:line="256" w:lineRule="auto"/>
        <w:ind w:left="567" w:hanging="567"/>
        <w:jc w:val="both"/>
        <w:rPr>
          <w:szCs w:val="24"/>
        </w:rPr>
      </w:pPr>
      <w:r>
        <w:rPr>
          <w:szCs w:val="24"/>
        </w:rPr>
        <w:t>39</w:t>
      </w:r>
      <w:r w:rsidR="00DF3C1F">
        <w:rPr>
          <w:szCs w:val="24"/>
        </w:rPr>
        <w:t>.</w:t>
      </w:r>
      <w:r w:rsidR="00DF3C1F">
        <w:rPr>
          <w:szCs w:val="24"/>
        </w:rPr>
        <w:tab/>
      </w:r>
      <w:r w:rsidR="00FD2B31" w:rsidRPr="00FD2B31">
        <w:rPr>
          <w:szCs w:val="24"/>
        </w:rPr>
        <w:t>For the purposes of comparison, Mr. Williams provide</w:t>
      </w:r>
      <w:r w:rsidR="00E65D8C">
        <w:rPr>
          <w:szCs w:val="24"/>
        </w:rPr>
        <w:t>d</w:t>
      </w:r>
      <w:r w:rsidR="00FD2B31" w:rsidRPr="00FD2B31">
        <w:rPr>
          <w:szCs w:val="24"/>
        </w:rPr>
        <w:t xml:space="preserve"> an example from Cheshire East</w:t>
      </w:r>
      <w:r w:rsidR="002F606F" w:rsidRPr="002F606F">
        <w:rPr>
          <w:szCs w:val="24"/>
        </w:rPr>
        <w:t xml:space="preserve"> where </w:t>
      </w:r>
      <w:r w:rsidR="00DA1A59">
        <w:rPr>
          <w:szCs w:val="24"/>
        </w:rPr>
        <w:t>a</w:t>
      </w:r>
      <w:r w:rsidR="002F606F" w:rsidRPr="002F606F">
        <w:rPr>
          <w:szCs w:val="24"/>
        </w:rPr>
        <w:t xml:space="preserve"> </w:t>
      </w:r>
      <w:r w:rsidR="003B2F55">
        <w:rPr>
          <w:szCs w:val="24"/>
        </w:rPr>
        <w:t>g</w:t>
      </w:r>
      <w:r w:rsidR="002F606F" w:rsidRPr="002F606F">
        <w:rPr>
          <w:szCs w:val="24"/>
        </w:rPr>
        <w:t xml:space="preserve">reen </w:t>
      </w:r>
      <w:r w:rsidR="003B2F55">
        <w:rPr>
          <w:szCs w:val="24"/>
        </w:rPr>
        <w:t>b</w:t>
      </w:r>
      <w:r w:rsidR="002F606F" w:rsidRPr="002F606F">
        <w:rPr>
          <w:szCs w:val="24"/>
        </w:rPr>
        <w:t xml:space="preserve">elt assessment was carried out as part of the Cheshire East </w:t>
      </w:r>
      <w:r w:rsidR="00E65D8C">
        <w:rPr>
          <w:szCs w:val="24"/>
        </w:rPr>
        <w:t>L</w:t>
      </w:r>
      <w:r w:rsidR="002F606F" w:rsidRPr="002F606F">
        <w:rPr>
          <w:szCs w:val="24"/>
        </w:rPr>
        <w:t xml:space="preserve">ocal </w:t>
      </w:r>
      <w:r w:rsidR="00E65D8C">
        <w:rPr>
          <w:szCs w:val="24"/>
        </w:rPr>
        <w:t>P</w:t>
      </w:r>
      <w:r w:rsidR="002F606F" w:rsidRPr="002F606F">
        <w:rPr>
          <w:szCs w:val="24"/>
        </w:rPr>
        <w:t xml:space="preserve">lan </w:t>
      </w:r>
      <w:r w:rsidR="00E65D8C">
        <w:rPr>
          <w:szCs w:val="24"/>
        </w:rPr>
        <w:t>S</w:t>
      </w:r>
      <w:r w:rsidR="002F606F" w:rsidRPr="002F606F">
        <w:rPr>
          <w:szCs w:val="24"/>
        </w:rPr>
        <w:t>trategy.</w:t>
      </w:r>
      <w:r w:rsidR="008310A9" w:rsidRPr="008310A9">
        <w:rPr>
          <w:szCs w:val="24"/>
        </w:rPr>
        <w:t xml:space="preserve"> He </w:t>
      </w:r>
      <w:r w:rsidR="002D0063" w:rsidRPr="008310A9">
        <w:rPr>
          <w:szCs w:val="24"/>
        </w:rPr>
        <w:t>sa</w:t>
      </w:r>
      <w:r w:rsidR="002D0063">
        <w:rPr>
          <w:szCs w:val="24"/>
        </w:rPr>
        <w:t>id</w:t>
      </w:r>
      <w:r w:rsidR="002D0063" w:rsidRPr="008310A9">
        <w:rPr>
          <w:szCs w:val="24"/>
        </w:rPr>
        <w:t xml:space="preserve"> </w:t>
      </w:r>
      <w:r w:rsidR="008310A9" w:rsidRPr="008310A9">
        <w:rPr>
          <w:szCs w:val="24"/>
        </w:rPr>
        <w:t xml:space="preserve">that </w:t>
      </w:r>
      <w:r w:rsidR="006966A2" w:rsidRPr="006966A2">
        <w:rPr>
          <w:szCs w:val="24"/>
        </w:rPr>
        <w:t xml:space="preserve">there was a widespread expectation </w:t>
      </w:r>
      <w:r w:rsidR="00DA1A59">
        <w:rPr>
          <w:szCs w:val="24"/>
        </w:rPr>
        <w:t>that</w:t>
      </w:r>
      <w:r w:rsidR="006966A2" w:rsidRPr="006966A2">
        <w:rPr>
          <w:szCs w:val="24"/>
        </w:rPr>
        <w:t xml:space="preserve"> a similar review process was </w:t>
      </w:r>
      <w:r w:rsidR="00EF3B4E">
        <w:rPr>
          <w:szCs w:val="24"/>
        </w:rPr>
        <w:t>pending</w:t>
      </w:r>
      <w:r w:rsidR="006966A2" w:rsidRPr="006966A2">
        <w:rPr>
          <w:szCs w:val="24"/>
        </w:rPr>
        <w:t xml:space="preserve"> in Stockport to address the housing shortfall there.</w:t>
      </w:r>
    </w:p>
    <w:p w14:paraId="7E2C158E" w14:textId="6A2F9590" w:rsidR="00080B26" w:rsidRDefault="00160711" w:rsidP="009207DC">
      <w:pPr>
        <w:spacing w:after="360" w:line="256" w:lineRule="auto"/>
        <w:ind w:left="567" w:hanging="567"/>
        <w:jc w:val="both"/>
        <w:rPr>
          <w:szCs w:val="24"/>
        </w:rPr>
      </w:pPr>
      <w:r>
        <w:rPr>
          <w:szCs w:val="24"/>
        </w:rPr>
        <w:t>4</w:t>
      </w:r>
      <w:r w:rsidR="00997058">
        <w:rPr>
          <w:szCs w:val="24"/>
        </w:rPr>
        <w:t>0</w:t>
      </w:r>
      <w:r w:rsidR="00DF3C1F">
        <w:rPr>
          <w:szCs w:val="24"/>
        </w:rPr>
        <w:t>.</w:t>
      </w:r>
      <w:r w:rsidR="00DF3C1F">
        <w:rPr>
          <w:szCs w:val="24"/>
        </w:rPr>
        <w:tab/>
      </w:r>
      <w:r w:rsidR="00080B26" w:rsidRPr="00080B26">
        <w:rPr>
          <w:szCs w:val="24"/>
        </w:rPr>
        <w:t xml:space="preserve">Mr. Williams </w:t>
      </w:r>
      <w:r w:rsidR="002D0063" w:rsidRPr="00080B26">
        <w:rPr>
          <w:szCs w:val="24"/>
        </w:rPr>
        <w:t>identifie</w:t>
      </w:r>
      <w:r w:rsidR="002D0063">
        <w:rPr>
          <w:szCs w:val="24"/>
        </w:rPr>
        <w:t>d</w:t>
      </w:r>
      <w:r w:rsidR="002D0063" w:rsidRPr="00080B26">
        <w:rPr>
          <w:szCs w:val="24"/>
        </w:rPr>
        <w:t xml:space="preserve"> </w:t>
      </w:r>
      <w:r w:rsidR="00080B26" w:rsidRPr="00080B26">
        <w:rPr>
          <w:szCs w:val="24"/>
        </w:rPr>
        <w:t xml:space="preserve">a parcel of land containing what would later become the </w:t>
      </w:r>
      <w:proofErr w:type="spellStart"/>
      <w:r w:rsidR="00E65D8C">
        <w:rPr>
          <w:szCs w:val="24"/>
        </w:rPr>
        <w:t>H</w:t>
      </w:r>
      <w:r w:rsidR="00080B26" w:rsidRPr="00080B26">
        <w:rPr>
          <w:szCs w:val="24"/>
        </w:rPr>
        <w:t>andforth</w:t>
      </w:r>
      <w:proofErr w:type="spellEnd"/>
      <w:r w:rsidR="00080B26" w:rsidRPr="00080B26">
        <w:rPr>
          <w:szCs w:val="24"/>
        </w:rPr>
        <w:t xml:space="preserve"> </w:t>
      </w:r>
      <w:r w:rsidR="00FA4D4A">
        <w:rPr>
          <w:szCs w:val="24"/>
        </w:rPr>
        <w:t xml:space="preserve">Growth </w:t>
      </w:r>
      <w:r w:rsidR="00E65D8C">
        <w:rPr>
          <w:szCs w:val="24"/>
        </w:rPr>
        <w:t>V</w:t>
      </w:r>
      <w:r w:rsidR="00080B26" w:rsidRPr="00080B26">
        <w:rPr>
          <w:szCs w:val="24"/>
        </w:rPr>
        <w:t>illage which was said to</w:t>
      </w:r>
      <w:r w:rsidR="0085525A" w:rsidRPr="0085525A">
        <w:rPr>
          <w:szCs w:val="24"/>
        </w:rPr>
        <w:t xml:space="preserve"> make a major contribution </w:t>
      </w:r>
      <w:r w:rsidR="00E65D8C">
        <w:rPr>
          <w:szCs w:val="24"/>
        </w:rPr>
        <w:t xml:space="preserve">to </w:t>
      </w:r>
      <w:r w:rsidR="00974B23">
        <w:rPr>
          <w:szCs w:val="24"/>
        </w:rPr>
        <w:t xml:space="preserve">the first </w:t>
      </w:r>
      <w:r w:rsidR="008E2975">
        <w:rPr>
          <w:szCs w:val="24"/>
        </w:rPr>
        <w:t>three of the five</w:t>
      </w:r>
      <w:r w:rsidR="0085525A" w:rsidRPr="0085525A">
        <w:rPr>
          <w:szCs w:val="24"/>
        </w:rPr>
        <w:t xml:space="preserve"> purposes of the green belt which were assessed by the study.</w:t>
      </w:r>
      <w:r w:rsidR="006232E9" w:rsidRPr="006232E9">
        <w:rPr>
          <w:szCs w:val="24"/>
        </w:rPr>
        <w:t xml:space="preserve"> </w:t>
      </w:r>
      <w:r w:rsidR="00602C85" w:rsidRPr="00602C85">
        <w:rPr>
          <w:szCs w:val="24"/>
        </w:rPr>
        <w:t xml:space="preserve">Nevertheless, the site was proposed as </w:t>
      </w:r>
      <w:r w:rsidR="00011A65">
        <w:rPr>
          <w:szCs w:val="24"/>
        </w:rPr>
        <w:t xml:space="preserve">a draft allocation </w:t>
      </w:r>
      <w:r w:rsidR="00602C85" w:rsidRPr="00602C85">
        <w:rPr>
          <w:szCs w:val="24"/>
        </w:rPr>
        <w:t xml:space="preserve">in the </w:t>
      </w:r>
      <w:r w:rsidR="00E133A8">
        <w:rPr>
          <w:szCs w:val="24"/>
        </w:rPr>
        <w:t>S</w:t>
      </w:r>
      <w:r w:rsidR="00602C85" w:rsidRPr="00602C85">
        <w:rPr>
          <w:szCs w:val="24"/>
        </w:rPr>
        <w:t xml:space="preserve">ubmission </w:t>
      </w:r>
      <w:r w:rsidR="00E133A8">
        <w:rPr>
          <w:szCs w:val="24"/>
        </w:rPr>
        <w:t>D</w:t>
      </w:r>
      <w:r w:rsidR="00602C85" w:rsidRPr="00602C85">
        <w:rPr>
          <w:szCs w:val="24"/>
        </w:rPr>
        <w:t xml:space="preserve">raft </w:t>
      </w:r>
      <w:r w:rsidR="00E133A8">
        <w:rPr>
          <w:szCs w:val="24"/>
        </w:rPr>
        <w:t xml:space="preserve">of </w:t>
      </w:r>
      <w:r w:rsidR="00602C85" w:rsidRPr="00602C85">
        <w:rPr>
          <w:szCs w:val="24"/>
        </w:rPr>
        <w:t xml:space="preserve">the Cheshire East </w:t>
      </w:r>
      <w:r w:rsidR="00E133A8">
        <w:rPr>
          <w:szCs w:val="24"/>
        </w:rPr>
        <w:t>L</w:t>
      </w:r>
      <w:r w:rsidR="00602C85" w:rsidRPr="00602C85">
        <w:rPr>
          <w:szCs w:val="24"/>
        </w:rPr>
        <w:t xml:space="preserve">ocal </w:t>
      </w:r>
      <w:r w:rsidR="00E133A8">
        <w:rPr>
          <w:szCs w:val="24"/>
        </w:rPr>
        <w:t>P</w:t>
      </w:r>
      <w:r w:rsidR="00602C85" w:rsidRPr="00602C85">
        <w:rPr>
          <w:szCs w:val="24"/>
        </w:rPr>
        <w:t xml:space="preserve">lan </w:t>
      </w:r>
      <w:r w:rsidR="00E133A8">
        <w:rPr>
          <w:szCs w:val="24"/>
        </w:rPr>
        <w:t>S</w:t>
      </w:r>
      <w:r w:rsidR="00602C85" w:rsidRPr="00602C85">
        <w:rPr>
          <w:szCs w:val="24"/>
        </w:rPr>
        <w:t>trategy</w:t>
      </w:r>
      <w:r w:rsidR="00011A65">
        <w:rPr>
          <w:szCs w:val="24"/>
        </w:rPr>
        <w:t>.  Mr Will</w:t>
      </w:r>
      <w:r w:rsidR="009B7B61" w:rsidRPr="009B7B61">
        <w:rPr>
          <w:szCs w:val="24"/>
        </w:rPr>
        <w:t>iam</w:t>
      </w:r>
      <w:r w:rsidR="00011A65">
        <w:rPr>
          <w:szCs w:val="24"/>
        </w:rPr>
        <w:t>s</w:t>
      </w:r>
      <w:r w:rsidR="009B7B61" w:rsidRPr="009B7B61">
        <w:rPr>
          <w:szCs w:val="24"/>
        </w:rPr>
        <w:t xml:space="preserve"> </w:t>
      </w:r>
      <w:r w:rsidR="002D0063" w:rsidRPr="009B7B61">
        <w:rPr>
          <w:szCs w:val="24"/>
        </w:rPr>
        <w:t>note</w:t>
      </w:r>
      <w:r w:rsidR="002D0063">
        <w:rPr>
          <w:szCs w:val="24"/>
        </w:rPr>
        <w:t>d</w:t>
      </w:r>
      <w:r w:rsidR="002D0063" w:rsidRPr="009B7B61">
        <w:rPr>
          <w:szCs w:val="24"/>
        </w:rPr>
        <w:t xml:space="preserve"> </w:t>
      </w:r>
      <w:r w:rsidR="009B7B61" w:rsidRPr="009B7B61">
        <w:rPr>
          <w:szCs w:val="24"/>
        </w:rPr>
        <w:t xml:space="preserve">that the </w:t>
      </w:r>
      <w:r w:rsidR="008204D3">
        <w:rPr>
          <w:szCs w:val="24"/>
        </w:rPr>
        <w:t>C</w:t>
      </w:r>
      <w:r w:rsidR="009B7B61" w:rsidRPr="009B7B61">
        <w:rPr>
          <w:szCs w:val="24"/>
        </w:rPr>
        <w:t xml:space="preserve">ouncil said the development will be an extension </w:t>
      </w:r>
      <w:r w:rsidR="00E133A8" w:rsidRPr="009B7B61">
        <w:rPr>
          <w:szCs w:val="24"/>
        </w:rPr>
        <w:t xml:space="preserve">of </w:t>
      </w:r>
      <w:proofErr w:type="spellStart"/>
      <w:r w:rsidR="00E133A8">
        <w:rPr>
          <w:szCs w:val="24"/>
        </w:rPr>
        <w:t>Handforth</w:t>
      </w:r>
      <w:proofErr w:type="spellEnd"/>
      <w:r w:rsidR="009B7B61" w:rsidRPr="009B7B61">
        <w:rPr>
          <w:szCs w:val="24"/>
        </w:rPr>
        <w:t>, Cheadle Hu</w:t>
      </w:r>
      <w:r w:rsidR="00D67554">
        <w:rPr>
          <w:szCs w:val="24"/>
        </w:rPr>
        <w:t>l</w:t>
      </w:r>
      <w:r w:rsidR="009B7B61" w:rsidRPr="009B7B61">
        <w:rPr>
          <w:szCs w:val="24"/>
        </w:rPr>
        <w:t>me, Bramhall and surrounding settlements, me</w:t>
      </w:r>
      <w:r w:rsidR="00E133A8">
        <w:rPr>
          <w:szCs w:val="24"/>
        </w:rPr>
        <w:t>aning</w:t>
      </w:r>
      <w:r w:rsidR="00F77CFE">
        <w:rPr>
          <w:szCs w:val="24"/>
        </w:rPr>
        <w:t xml:space="preserve"> that</w:t>
      </w:r>
      <w:r w:rsidR="009B7B61" w:rsidRPr="009B7B61">
        <w:rPr>
          <w:szCs w:val="24"/>
        </w:rPr>
        <w:t xml:space="preserve"> the </w:t>
      </w:r>
      <w:r w:rsidR="00A664BF">
        <w:rPr>
          <w:szCs w:val="24"/>
        </w:rPr>
        <w:t>C</w:t>
      </w:r>
      <w:r w:rsidR="009B7B61" w:rsidRPr="009B7B61">
        <w:rPr>
          <w:szCs w:val="24"/>
        </w:rPr>
        <w:t>ouncil clearly understood</w:t>
      </w:r>
      <w:r w:rsidR="00D67554" w:rsidRPr="00D67554">
        <w:rPr>
          <w:szCs w:val="24"/>
        </w:rPr>
        <w:t xml:space="preserve"> the s</w:t>
      </w:r>
      <w:r w:rsidR="0098637A">
        <w:rPr>
          <w:szCs w:val="24"/>
        </w:rPr>
        <w:t>ite</w:t>
      </w:r>
      <w:r w:rsidR="00D67554" w:rsidRPr="00D67554">
        <w:rPr>
          <w:szCs w:val="24"/>
        </w:rPr>
        <w:t xml:space="preserve"> was not </w:t>
      </w:r>
      <w:r w:rsidR="00D67554">
        <w:rPr>
          <w:szCs w:val="24"/>
        </w:rPr>
        <w:t>d</w:t>
      </w:r>
      <w:r w:rsidR="00D67554" w:rsidRPr="00D67554">
        <w:rPr>
          <w:szCs w:val="24"/>
        </w:rPr>
        <w:t>etached</w:t>
      </w:r>
      <w:r w:rsidR="00D67554">
        <w:rPr>
          <w:szCs w:val="24"/>
        </w:rPr>
        <w:t xml:space="preserve"> </w:t>
      </w:r>
      <w:r w:rsidR="00D67554" w:rsidRPr="00D67554">
        <w:rPr>
          <w:szCs w:val="24"/>
        </w:rPr>
        <w:t>from these areas.</w:t>
      </w:r>
      <w:r w:rsidR="008204D3">
        <w:rPr>
          <w:szCs w:val="24"/>
        </w:rPr>
        <w:t xml:space="preserve">  In the</w:t>
      </w:r>
      <w:r w:rsidR="00A11623" w:rsidRPr="00A11623">
        <w:rPr>
          <w:szCs w:val="24"/>
        </w:rPr>
        <w:t xml:space="preserve"> detailed </w:t>
      </w:r>
      <w:r w:rsidR="00A11623" w:rsidRPr="00A11623">
        <w:rPr>
          <w:szCs w:val="24"/>
        </w:rPr>
        <w:lastRenderedPageBreak/>
        <w:t xml:space="preserve">assessment it was found that the site formed part of the gap between </w:t>
      </w:r>
      <w:proofErr w:type="spellStart"/>
      <w:r w:rsidR="00F77CFE">
        <w:rPr>
          <w:szCs w:val="24"/>
        </w:rPr>
        <w:t>H</w:t>
      </w:r>
      <w:r w:rsidR="00A11623" w:rsidRPr="00A11623">
        <w:rPr>
          <w:szCs w:val="24"/>
        </w:rPr>
        <w:t>andforth</w:t>
      </w:r>
      <w:proofErr w:type="spellEnd"/>
      <w:r w:rsidR="00F77CFE">
        <w:rPr>
          <w:szCs w:val="24"/>
        </w:rPr>
        <w:t>/</w:t>
      </w:r>
      <w:r w:rsidR="00A11623" w:rsidRPr="00A11623">
        <w:rPr>
          <w:szCs w:val="24"/>
        </w:rPr>
        <w:t xml:space="preserve">Wilmslow </w:t>
      </w:r>
      <w:r w:rsidR="00F77CFE">
        <w:rPr>
          <w:szCs w:val="24"/>
        </w:rPr>
        <w:t>and</w:t>
      </w:r>
      <w:r w:rsidR="00A11623" w:rsidRPr="00A11623">
        <w:rPr>
          <w:szCs w:val="24"/>
        </w:rPr>
        <w:t xml:space="preserve"> the Greater Manchester conurbation. </w:t>
      </w:r>
      <w:r w:rsidR="00D01C60">
        <w:rPr>
          <w:szCs w:val="24"/>
        </w:rPr>
        <w:t xml:space="preserve"> </w:t>
      </w:r>
      <w:r w:rsidR="00F77CFE">
        <w:rPr>
          <w:szCs w:val="24"/>
        </w:rPr>
        <w:t>Specifica</w:t>
      </w:r>
      <w:r w:rsidR="000457B4">
        <w:rPr>
          <w:szCs w:val="24"/>
        </w:rPr>
        <w:t>lly, ‘whilst the A</w:t>
      </w:r>
      <w:r w:rsidR="00A11623" w:rsidRPr="00A11623">
        <w:rPr>
          <w:szCs w:val="24"/>
        </w:rPr>
        <w:t>555 northern boundary means that the development of this parcel alone would not lead to the merging of settlements</w:t>
      </w:r>
      <w:r w:rsidR="00556F48" w:rsidRPr="00556F48">
        <w:rPr>
          <w:szCs w:val="24"/>
        </w:rPr>
        <w:t xml:space="preserve"> it would dramatically reduce the gap and seriously compromise the openness of the </w:t>
      </w:r>
      <w:r w:rsidR="003459A2">
        <w:rPr>
          <w:szCs w:val="24"/>
        </w:rPr>
        <w:t>G</w:t>
      </w:r>
      <w:r w:rsidR="00556F48" w:rsidRPr="00556F48">
        <w:rPr>
          <w:szCs w:val="24"/>
        </w:rPr>
        <w:t xml:space="preserve">reen </w:t>
      </w:r>
      <w:r w:rsidR="003459A2">
        <w:rPr>
          <w:szCs w:val="24"/>
        </w:rPr>
        <w:t>B</w:t>
      </w:r>
      <w:r w:rsidR="00556F48" w:rsidRPr="00556F48">
        <w:rPr>
          <w:szCs w:val="24"/>
        </w:rPr>
        <w:t>elt between the</w:t>
      </w:r>
      <w:r w:rsidR="000457B4">
        <w:rPr>
          <w:szCs w:val="24"/>
        </w:rPr>
        <w:t>m</w:t>
      </w:r>
      <w:r w:rsidR="003459A2">
        <w:rPr>
          <w:szCs w:val="24"/>
        </w:rPr>
        <w:t>’</w:t>
      </w:r>
      <w:r w:rsidR="000457B4">
        <w:rPr>
          <w:szCs w:val="24"/>
        </w:rPr>
        <w:t>.</w:t>
      </w:r>
      <w:r w:rsidR="00260B59" w:rsidRPr="00260B59">
        <w:rPr>
          <w:szCs w:val="24"/>
        </w:rPr>
        <w:t xml:space="preserve"> </w:t>
      </w:r>
    </w:p>
    <w:p w14:paraId="200A5EBF" w14:textId="7206320A" w:rsidR="00A4621C" w:rsidRDefault="00160711" w:rsidP="00997058">
      <w:pPr>
        <w:spacing w:after="360" w:line="256" w:lineRule="auto"/>
        <w:ind w:left="567" w:hanging="567"/>
        <w:jc w:val="both"/>
        <w:rPr>
          <w:szCs w:val="24"/>
        </w:rPr>
      </w:pPr>
      <w:r>
        <w:rPr>
          <w:szCs w:val="24"/>
        </w:rPr>
        <w:t>4</w:t>
      </w:r>
      <w:r w:rsidR="00997058">
        <w:rPr>
          <w:szCs w:val="24"/>
        </w:rPr>
        <w:t>1</w:t>
      </w:r>
      <w:r w:rsidR="00DF3C1F">
        <w:rPr>
          <w:szCs w:val="24"/>
        </w:rPr>
        <w:t>.</w:t>
      </w:r>
      <w:r w:rsidR="00DF3C1F">
        <w:rPr>
          <w:szCs w:val="24"/>
        </w:rPr>
        <w:tab/>
      </w:r>
      <w:r w:rsidR="00B4161D" w:rsidRPr="00B4161D">
        <w:rPr>
          <w:szCs w:val="24"/>
        </w:rPr>
        <w:t>Mr. Williams refer</w:t>
      </w:r>
      <w:r w:rsidR="00DB6715">
        <w:rPr>
          <w:szCs w:val="24"/>
        </w:rPr>
        <w:t>red</w:t>
      </w:r>
      <w:r w:rsidR="00B4161D" w:rsidRPr="00B4161D">
        <w:rPr>
          <w:szCs w:val="24"/>
        </w:rPr>
        <w:t xml:space="preserve"> to </w:t>
      </w:r>
      <w:r w:rsidR="00974B23">
        <w:rPr>
          <w:szCs w:val="24"/>
        </w:rPr>
        <w:t>P</w:t>
      </w:r>
      <w:r w:rsidR="00B4161D" w:rsidRPr="00B4161D">
        <w:rPr>
          <w:szCs w:val="24"/>
        </w:rPr>
        <w:t>aragraph 83 of the NPPF</w:t>
      </w:r>
      <w:r w:rsidR="00EF7B45" w:rsidRPr="00EF7B45">
        <w:rPr>
          <w:szCs w:val="24"/>
        </w:rPr>
        <w:t xml:space="preserve"> and the necessity in the context of a local plan review</w:t>
      </w:r>
      <w:r w:rsidR="002B7125" w:rsidRPr="002B7125">
        <w:rPr>
          <w:szCs w:val="24"/>
        </w:rPr>
        <w:t xml:space="preserve"> to demonstrate exceptional circumstances</w:t>
      </w:r>
      <w:r w:rsidR="00077D3A">
        <w:rPr>
          <w:szCs w:val="24"/>
        </w:rPr>
        <w:t xml:space="preserve"> for a change in allocation</w:t>
      </w:r>
      <w:r w:rsidR="002B7125" w:rsidRPr="002B7125">
        <w:rPr>
          <w:szCs w:val="24"/>
        </w:rPr>
        <w:t>.</w:t>
      </w:r>
      <w:r w:rsidR="00DE0CA7" w:rsidRPr="00DE0CA7">
        <w:rPr>
          <w:szCs w:val="24"/>
        </w:rPr>
        <w:t xml:space="preserve"> </w:t>
      </w:r>
      <w:r w:rsidR="00B62A36">
        <w:rPr>
          <w:szCs w:val="24"/>
        </w:rPr>
        <w:t>T</w:t>
      </w:r>
      <w:r w:rsidR="00544F79" w:rsidRPr="00544F79">
        <w:rPr>
          <w:szCs w:val="24"/>
        </w:rPr>
        <w:t xml:space="preserve">he application of the </w:t>
      </w:r>
      <w:r w:rsidR="00B62A36">
        <w:rPr>
          <w:szCs w:val="24"/>
        </w:rPr>
        <w:t>‘</w:t>
      </w:r>
      <w:r w:rsidR="00544F79" w:rsidRPr="00544F79">
        <w:rPr>
          <w:szCs w:val="24"/>
        </w:rPr>
        <w:t>exceptional circumstances</w:t>
      </w:r>
      <w:r w:rsidR="00B62A36">
        <w:rPr>
          <w:szCs w:val="24"/>
        </w:rPr>
        <w:t>’</w:t>
      </w:r>
      <w:r w:rsidR="00544F79" w:rsidRPr="00544F79">
        <w:rPr>
          <w:szCs w:val="24"/>
        </w:rPr>
        <w:t xml:space="preserve"> test was, he </w:t>
      </w:r>
      <w:r w:rsidR="00DB6715" w:rsidRPr="00544F79">
        <w:rPr>
          <w:szCs w:val="24"/>
        </w:rPr>
        <w:t>sa</w:t>
      </w:r>
      <w:r w:rsidR="00DB6715">
        <w:rPr>
          <w:szCs w:val="24"/>
        </w:rPr>
        <w:t>id</w:t>
      </w:r>
      <w:r w:rsidR="00544F79" w:rsidRPr="00544F79">
        <w:rPr>
          <w:szCs w:val="24"/>
        </w:rPr>
        <w:t xml:space="preserve">, considered in </w:t>
      </w:r>
      <w:r w:rsidR="00544F79" w:rsidRPr="00C46A93">
        <w:rPr>
          <w:i/>
          <w:iCs/>
          <w:szCs w:val="24"/>
        </w:rPr>
        <w:t>Compton</w:t>
      </w:r>
      <w:r w:rsidR="002823A3">
        <w:rPr>
          <w:i/>
          <w:iCs/>
          <w:szCs w:val="24"/>
        </w:rPr>
        <w:t xml:space="preserve"> </w:t>
      </w:r>
      <w:r w:rsidR="00FE5C5D" w:rsidRPr="00C46A93">
        <w:rPr>
          <w:i/>
          <w:iCs/>
          <w:szCs w:val="24"/>
        </w:rPr>
        <w:t xml:space="preserve">PC </w:t>
      </w:r>
      <w:r w:rsidR="00077D3A" w:rsidRPr="00C46A93">
        <w:rPr>
          <w:i/>
          <w:iCs/>
          <w:szCs w:val="24"/>
        </w:rPr>
        <w:t>v</w:t>
      </w:r>
      <w:r w:rsidR="00FE5C5D" w:rsidRPr="00C46A93">
        <w:rPr>
          <w:i/>
          <w:iCs/>
          <w:szCs w:val="24"/>
        </w:rPr>
        <w:t xml:space="preserve"> Guildford BC</w:t>
      </w:r>
      <w:r w:rsidR="00C46A93">
        <w:rPr>
          <w:i/>
          <w:iCs/>
          <w:szCs w:val="24"/>
        </w:rPr>
        <w:t xml:space="preserve"> </w:t>
      </w:r>
      <w:r w:rsidR="0094106E" w:rsidRPr="00C46A93">
        <w:rPr>
          <w:szCs w:val="24"/>
        </w:rPr>
        <w:t>[</w:t>
      </w:r>
      <w:r w:rsidR="00FE5C5D" w:rsidRPr="00C46A93">
        <w:rPr>
          <w:szCs w:val="24"/>
        </w:rPr>
        <w:t>2019</w:t>
      </w:r>
      <w:r w:rsidR="00C46A93" w:rsidRPr="00C46A93">
        <w:rPr>
          <w:szCs w:val="24"/>
        </w:rPr>
        <w:t>]</w:t>
      </w:r>
      <w:r w:rsidR="00C46A93">
        <w:rPr>
          <w:szCs w:val="24"/>
        </w:rPr>
        <w:t xml:space="preserve"> </w:t>
      </w:r>
      <w:r w:rsidR="00077D3A">
        <w:rPr>
          <w:szCs w:val="24"/>
        </w:rPr>
        <w:t>E</w:t>
      </w:r>
      <w:r w:rsidR="007978EC">
        <w:rPr>
          <w:szCs w:val="24"/>
        </w:rPr>
        <w:t>WHC</w:t>
      </w:r>
      <w:r w:rsidR="00FE5C5D" w:rsidRPr="00FE5C5D">
        <w:rPr>
          <w:szCs w:val="24"/>
        </w:rPr>
        <w:t xml:space="preserve"> 3242 </w:t>
      </w:r>
      <w:r w:rsidR="007978EC">
        <w:rPr>
          <w:szCs w:val="24"/>
        </w:rPr>
        <w:t>(A</w:t>
      </w:r>
      <w:r w:rsidR="000606C9" w:rsidRPr="000606C9">
        <w:rPr>
          <w:szCs w:val="24"/>
        </w:rPr>
        <w:t>dmin</w:t>
      </w:r>
      <w:r w:rsidR="007978EC">
        <w:rPr>
          <w:szCs w:val="24"/>
        </w:rPr>
        <w:t>)</w:t>
      </w:r>
      <w:r w:rsidR="000606C9" w:rsidRPr="000606C9">
        <w:rPr>
          <w:szCs w:val="24"/>
        </w:rPr>
        <w:t xml:space="preserve">. This case </w:t>
      </w:r>
      <w:r w:rsidR="00AB49B1">
        <w:rPr>
          <w:szCs w:val="24"/>
        </w:rPr>
        <w:t xml:space="preserve">obviously </w:t>
      </w:r>
      <w:r w:rsidR="000606C9" w:rsidRPr="000606C9">
        <w:rPr>
          <w:szCs w:val="24"/>
        </w:rPr>
        <w:t>postdates</w:t>
      </w:r>
      <w:r w:rsidR="00B62A36">
        <w:rPr>
          <w:szCs w:val="24"/>
        </w:rPr>
        <w:t xml:space="preserve"> the </w:t>
      </w:r>
      <w:r w:rsidR="00AB49B1">
        <w:rPr>
          <w:szCs w:val="24"/>
        </w:rPr>
        <w:t>v</w:t>
      </w:r>
      <w:r w:rsidR="000606C9" w:rsidRPr="000606C9">
        <w:rPr>
          <w:szCs w:val="24"/>
        </w:rPr>
        <w:t>aluation date but relates to the 2012 iteration of the NPPF</w:t>
      </w:r>
      <w:r w:rsidR="00B01431" w:rsidRPr="00B01431">
        <w:rPr>
          <w:szCs w:val="24"/>
        </w:rPr>
        <w:t xml:space="preserve">. </w:t>
      </w:r>
      <w:r w:rsidR="00AB49B1">
        <w:rPr>
          <w:szCs w:val="24"/>
        </w:rPr>
        <w:t xml:space="preserve"> </w:t>
      </w:r>
      <w:r w:rsidR="00A01BEC">
        <w:rPr>
          <w:szCs w:val="24"/>
        </w:rPr>
        <w:t xml:space="preserve"> </w:t>
      </w:r>
      <w:r w:rsidR="00B01431" w:rsidRPr="00B01431">
        <w:rPr>
          <w:szCs w:val="24"/>
        </w:rPr>
        <w:t xml:space="preserve">Mr. Williams </w:t>
      </w:r>
      <w:r w:rsidR="00DB6715">
        <w:rPr>
          <w:szCs w:val="24"/>
        </w:rPr>
        <w:t>said</w:t>
      </w:r>
      <w:r w:rsidR="00DB6715" w:rsidRPr="00B01431">
        <w:rPr>
          <w:szCs w:val="24"/>
        </w:rPr>
        <w:t xml:space="preserve"> </w:t>
      </w:r>
      <w:r w:rsidR="00B01431" w:rsidRPr="00B01431">
        <w:rPr>
          <w:szCs w:val="24"/>
        </w:rPr>
        <w:t>that the decision shows that housing need can be sufficient to meet the test,</w:t>
      </w:r>
      <w:r w:rsidR="00ED2FBF" w:rsidRPr="00ED2FBF">
        <w:rPr>
          <w:szCs w:val="24"/>
        </w:rPr>
        <w:t xml:space="preserve"> </w:t>
      </w:r>
      <w:r w:rsidR="00ED2FBF">
        <w:rPr>
          <w:szCs w:val="24"/>
        </w:rPr>
        <w:t xml:space="preserve">and that the </w:t>
      </w:r>
      <w:r w:rsidR="00B62A36">
        <w:rPr>
          <w:szCs w:val="24"/>
        </w:rPr>
        <w:t>‘</w:t>
      </w:r>
      <w:r w:rsidR="00B01431" w:rsidRPr="00B01431">
        <w:rPr>
          <w:szCs w:val="24"/>
        </w:rPr>
        <w:t>exceptional circumstances</w:t>
      </w:r>
      <w:r w:rsidR="00B62A36">
        <w:rPr>
          <w:szCs w:val="24"/>
        </w:rPr>
        <w:t>’</w:t>
      </w:r>
      <w:r w:rsidR="00B01431" w:rsidRPr="00B01431">
        <w:rPr>
          <w:szCs w:val="24"/>
        </w:rPr>
        <w:t xml:space="preserve"> test is not as stringent as</w:t>
      </w:r>
      <w:r w:rsidR="00ED2FBF">
        <w:rPr>
          <w:szCs w:val="24"/>
        </w:rPr>
        <w:t xml:space="preserve"> the </w:t>
      </w:r>
      <w:r w:rsidR="00A01E69">
        <w:rPr>
          <w:szCs w:val="24"/>
        </w:rPr>
        <w:t>‘</w:t>
      </w:r>
      <w:r w:rsidR="00B62A36">
        <w:rPr>
          <w:szCs w:val="24"/>
        </w:rPr>
        <w:t>v</w:t>
      </w:r>
      <w:r w:rsidR="00B01431" w:rsidRPr="00B01431">
        <w:rPr>
          <w:szCs w:val="24"/>
        </w:rPr>
        <w:t xml:space="preserve">ery </w:t>
      </w:r>
      <w:r w:rsidR="00A01E69">
        <w:rPr>
          <w:szCs w:val="24"/>
        </w:rPr>
        <w:t xml:space="preserve">special circumstances’ test </w:t>
      </w:r>
      <w:r w:rsidR="00B01431" w:rsidRPr="00B01431">
        <w:rPr>
          <w:szCs w:val="24"/>
        </w:rPr>
        <w:t>and</w:t>
      </w:r>
      <w:r w:rsidR="001A69C7" w:rsidRPr="001A69C7">
        <w:rPr>
          <w:szCs w:val="24"/>
        </w:rPr>
        <w:t xml:space="preserve"> the phrase is not limited to some unusual form of housing or to a particular intensity of need</w:t>
      </w:r>
      <w:r w:rsidR="001A69C7">
        <w:rPr>
          <w:szCs w:val="24"/>
        </w:rPr>
        <w:t>.</w:t>
      </w:r>
      <w:r w:rsidR="00394F68" w:rsidRPr="00394F68">
        <w:rPr>
          <w:szCs w:val="24"/>
        </w:rPr>
        <w:t xml:space="preserve"> </w:t>
      </w:r>
      <w:r w:rsidR="00A01BEC">
        <w:rPr>
          <w:szCs w:val="24"/>
        </w:rPr>
        <w:t xml:space="preserve">  </w:t>
      </w:r>
      <w:r w:rsidR="00394F68" w:rsidRPr="00394F68">
        <w:rPr>
          <w:szCs w:val="24"/>
        </w:rPr>
        <w:t xml:space="preserve">Mr. Williams </w:t>
      </w:r>
      <w:r w:rsidR="00DB6715" w:rsidRPr="00394F68">
        <w:rPr>
          <w:szCs w:val="24"/>
        </w:rPr>
        <w:t>identifie</w:t>
      </w:r>
      <w:r w:rsidR="00DB6715">
        <w:rPr>
          <w:szCs w:val="24"/>
        </w:rPr>
        <w:t>d</w:t>
      </w:r>
      <w:r w:rsidR="00DB6715" w:rsidRPr="00394F68">
        <w:rPr>
          <w:szCs w:val="24"/>
        </w:rPr>
        <w:t xml:space="preserve"> </w:t>
      </w:r>
      <w:r w:rsidR="00C47E0D">
        <w:rPr>
          <w:szCs w:val="24"/>
        </w:rPr>
        <w:t>two</w:t>
      </w:r>
      <w:r w:rsidR="00394F68" w:rsidRPr="00394F68">
        <w:rPr>
          <w:szCs w:val="24"/>
        </w:rPr>
        <w:t xml:space="preserve"> further considerations assuming that the need</w:t>
      </w:r>
      <w:r w:rsidR="002B6CE0" w:rsidRPr="002B6CE0">
        <w:rPr>
          <w:szCs w:val="24"/>
        </w:rPr>
        <w:t xml:space="preserve"> for releasing </w:t>
      </w:r>
      <w:r w:rsidR="003415BC">
        <w:rPr>
          <w:szCs w:val="24"/>
        </w:rPr>
        <w:t>g</w:t>
      </w:r>
      <w:r w:rsidR="003415BC" w:rsidRPr="002B6CE0">
        <w:rPr>
          <w:szCs w:val="24"/>
        </w:rPr>
        <w:t xml:space="preserve">reen </w:t>
      </w:r>
      <w:r w:rsidR="003415BC">
        <w:rPr>
          <w:szCs w:val="24"/>
        </w:rPr>
        <w:t>b</w:t>
      </w:r>
      <w:r w:rsidR="002B6CE0" w:rsidRPr="002B6CE0">
        <w:rPr>
          <w:szCs w:val="24"/>
        </w:rPr>
        <w:t xml:space="preserve">elt land was accepted. Firstly, </w:t>
      </w:r>
      <w:r w:rsidR="005A50E0">
        <w:rPr>
          <w:szCs w:val="24"/>
        </w:rPr>
        <w:t>whether there are</w:t>
      </w:r>
      <w:r w:rsidR="002B6CE0" w:rsidRPr="002B6CE0">
        <w:rPr>
          <w:szCs w:val="24"/>
        </w:rPr>
        <w:t xml:space="preserve"> sufficient alternative locations within the green belt </w:t>
      </w:r>
      <w:r w:rsidR="003D511A" w:rsidRPr="003D511A">
        <w:rPr>
          <w:szCs w:val="24"/>
        </w:rPr>
        <w:t xml:space="preserve">which would also be in sustainable locations but make a lesser contribution </w:t>
      </w:r>
      <w:r w:rsidR="00E773D4">
        <w:rPr>
          <w:szCs w:val="24"/>
        </w:rPr>
        <w:t xml:space="preserve">to </w:t>
      </w:r>
      <w:r w:rsidR="003D511A" w:rsidRPr="003D511A">
        <w:rPr>
          <w:szCs w:val="24"/>
        </w:rPr>
        <w:t xml:space="preserve">green belt </w:t>
      </w:r>
      <w:r w:rsidR="00E773D4">
        <w:rPr>
          <w:szCs w:val="24"/>
        </w:rPr>
        <w:t>purposes.  He</w:t>
      </w:r>
      <w:r w:rsidR="00041968" w:rsidRPr="00041968">
        <w:rPr>
          <w:szCs w:val="24"/>
        </w:rPr>
        <w:t xml:space="preserve"> </w:t>
      </w:r>
      <w:r w:rsidR="00DB6715" w:rsidRPr="00041968">
        <w:rPr>
          <w:szCs w:val="24"/>
        </w:rPr>
        <w:t>sa</w:t>
      </w:r>
      <w:r w:rsidR="00DB6715">
        <w:rPr>
          <w:szCs w:val="24"/>
        </w:rPr>
        <w:t>id</w:t>
      </w:r>
      <w:r w:rsidR="00DB6715" w:rsidRPr="00041968">
        <w:rPr>
          <w:szCs w:val="24"/>
        </w:rPr>
        <w:t xml:space="preserve"> </w:t>
      </w:r>
      <w:r w:rsidR="00041968" w:rsidRPr="00041968">
        <w:rPr>
          <w:szCs w:val="24"/>
        </w:rPr>
        <w:t xml:space="preserve">that he is not aware of any such </w:t>
      </w:r>
      <w:r w:rsidR="00041968">
        <w:rPr>
          <w:szCs w:val="24"/>
        </w:rPr>
        <w:t>sites</w:t>
      </w:r>
      <w:r w:rsidR="009506DF">
        <w:rPr>
          <w:szCs w:val="24"/>
        </w:rPr>
        <w:t>.</w:t>
      </w:r>
      <w:r w:rsidR="009506DF" w:rsidRPr="009506DF">
        <w:rPr>
          <w:szCs w:val="24"/>
        </w:rPr>
        <w:t xml:space="preserve"> </w:t>
      </w:r>
      <w:r w:rsidR="00E773D4">
        <w:rPr>
          <w:szCs w:val="24"/>
        </w:rPr>
        <w:t>S</w:t>
      </w:r>
      <w:r w:rsidR="009506DF" w:rsidRPr="009506DF">
        <w:rPr>
          <w:szCs w:val="24"/>
        </w:rPr>
        <w:t>econdly,</w:t>
      </w:r>
      <w:r w:rsidR="005D0F4E" w:rsidRPr="005D0F4E">
        <w:rPr>
          <w:szCs w:val="24"/>
        </w:rPr>
        <w:t xml:space="preserve"> </w:t>
      </w:r>
      <w:r w:rsidR="00E773D4">
        <w:rPr>
          <w:szCs w:val="24"/>
        </w:rPr>
        <w:t>t</w:t>
      </w:r>
      <w:r w:rsidR="005D0F4E" w:rsidRPr="005D0F4E">
        <w:rPr>
          <w:szCs w:val="24"/>
        </w:rPr>
        <w:t xml:space="preserve">he spatial strategy </w:t>
      </w:r>
      <w:r w:rsidR="00E773D4">
        <w:rPr>
          <w:szCs w:val="24"/>
        </w:rPr>
        <w:t xml:space="preserve">adopted by the Council </w:t>
      </w:r>
      <w:r w:rsidR="005D0F4E" w:rsidRPr="005D0F4E">
        <w:rPr>
          <w:szCs w:val="24"/>
        </w:rPr>
        <w:t>could have a bearing</w:t>
      </w:r>
      <w:r w:rsidR="00A909EE" w:rsidRPr="00A909EE">
        <w:rPr>
          <w:szCs w:val="24"/>
        </w:rPr>
        <w:t xml:space="preserve"> o</w:t>
      </w:r>
      <w:r w:rsidR="00E773D4">
        <w:rPr>
          <w:szCs w:val="24"/>
        </w:rPr>
        <w:t xml:space="preserve">n the </w:t>
      </w:r>
      <w:r w:rsidR="00A909EE" w:rsidRPr="00A909EE">
        <w:rPr>
          <w:szCs w:val="24"/>
        </w:rPr>
        <w:t xml:space="preserve">choice of sites depending on </w:t>
      </w:r>
      <w:r w:rsidR="00E773D4">
        <w:rPr>
          <w:szCs w:val="24"/>
        </w:rPr>
        <w:t>whether</w:t>
      </w:r>
      <w:r w:rsidR="00A909EE" w:rsidRPr="00A909EE">
        <w:rPr>
          <w:szCs w:val="24"/>
        </w:rPr>
        <w:t xml:space="preserve"> the council favoured large strategic allocations in parallel with new infrastructure or</w:t>
      </w:r>
      <w:r w:rsidR="00982CEE" w:rsidRPr="00982CEE">
        <w:rPr>
          <w:szCs w:val="24"/>
        </w:rPr>
        <w:t xml:space="preserve"> adopted smaller changes to the </w:t>
      </w:r>
      <w:r w:rsidR="00884014">
        <w:rPr>
          <w:szCs w:val="24"/>
        </w:rPr>
        <w:t>g</w:t>
      </w:r>
      <w:r w:rsidR="00982CEE" w:rsidRPr="00982CEE">
        <w:rPr>
          <w:szCs w:val="24"/>
        </w:rPr>
        <w:t xml:space="preserve">reen </w:t>
      </w:r>
      <w:r w:rsidR="00884014">
        <w:rPr>
          <w:szCs w:val="24"/>
        </w:rPr>
        <w:t>b</w:t>
      </w:r>
      <w:r w:rsidR="00982CEE" w:rsidRPr="00982CEE">
        <w:rPr>
          <w:szCs w:val="24"/>
        </w:rPr>
        <w:t>elt boundary.</w:t>
      </w:r>
      <w:r w:rsidR="00DF3C1F">
        <w:rPr>
          <w:szCs w:val="24"/>
        </w:rPr>
        <w:tab/>
      </w:r>
    </w:p>
    <w:p w14:paraId="1865DCCB" w14:textId="1F20858A" w:rsidR="004C492F" w:rsidRDefault="00B84E1B" w:rsidP="00E7613F">
      <w:pPr>
        <w:pStyle w:val="Normal2"/>
        <w:spacing w:after="360"/>
        <w:jc w:val="left"/>
        <w:rPr>
          <w:i/>
          <w:iCs/>
          <w:szCs w:val="24"/>
        </w:rPr>
      </w:pPr>
      <w:r>
        <w:rPr>
          <w:i/>
          <w:iCs/>
          <w:szCs w:val="24"/>
        </w:rPr>
        <w:t xml:space="preserve">Evidence </w:t>
      </w:r>
      <w:r w:rsidR="00175D23">
        <w:rPr>
          <w:i/>
          <w:iCs/>
          <w:szCs w:val="24"/>
        </w:rPr>
        <w:t>for the respondent</w:t>
      </w:r>
    </w:p>
    <w:p w14:paraId="10321F28" w14:textId="49664094" w:rsidR="00175D23" w:rsidRDefault="00160711" w:rsidP="00AF3696">
      <w:pPr>
        <w:pStyle w:val="Normal2"/>
        <w:spacing w:after="360"/>
        <w:ind w:left="567" w:hanging="567"/>
        <w:rPr>
          <w:szCs w:val="24"/>
        </w:rPr>
      </w:pPr>
      <w:r>
        <w:rPr>
          <w:szCs w:val="24"/>
        </w:rPr>
        <w:t>4</w:t>
      </w:r>
      <w:r w:rsidR="00997058">
        <w:rPr>
          <w:szCs w:val="24"/>
        </w:rPr>
        <w:t>2</w:t>
      </w:r>
      <w:r w:rsidR="00607ABC">
        <w:rPr>
          <w:szCs w:val="24"/>
        </w:rPr>
        <w:t>.</w:t>
      </w:r>
      <w:r w:rsidR="00607ABC">
        <w:rPr>
          <w:szCs w:val="24"/>
        </w:rPr>
        <w:tab/>
      </w:r>
      <w:r w:rsidR="00175D23" w:rsidRPr="0018549D">
        <w:rPr>
          <w:szCs w:val="24"/>
        </w:rPr>
        <w:t xml:space="preserve">Planning evidence for the </w:t>
      </w:r>
      <w:r w:rsidR="00175D23">
        <w:rPr>
          <w:szCs w:val="24"/>
        </w:rPr>
        <w:t>acquiring authority</w:t>
      </w:r>
      <w:r w:rsidR="00175D23" w:rsidRPr="0018549D">
        <w:rPr>
          <w:szCs w:val="24"/>
        </w:rPr>
        <w:t xml:space="preserve"> was given by Mr </w:t>
      </w:r>
      <w:r w:rsidR="00175D23">
        <w:rPr>
          <w:szCs w:val="24"/>
        </w:rPr>
        <w:t xml:space="preserve">Harry Bolton </w:t>
      </w:r>
      <w:r w:rsidR="003872C8">
        <w:rPr>
          <w:szCs w:val="24"/>
        </w:rPr>
        <w:t xml:space="preserve">MRTPI </w:t>
      </w:r>
      <w:r w:rsidR="00175D23">
        <w:rPr>
          <w:szCs w:val="24"/>
        </w:rPr>
        <w:t>who is a Director in the Planning and Development team at CBRE in Manchester.  He has 15 years’ experience.</w:t>
      </w:r>
    </w:p>
    <w:p w14:paraId="1F81A0D3" w14:textId="0A2D62F0" w:rsidR="00B84E1B" w:rsidRDefault="00647354" w:rsidP="00B21FFE">
      <w:pPr>
        <w:pStyle w:val="Normal2"/>
        <w:spacing w:after="360"/>
        <w:ind w:left="567" w:hanging="567"/>
        <w:rPr>
          <w:szCs w:val="24"/>
        </w:rPr>
      </w:pPr>
      <w:r>
        <w:rPr>
          <w:szCs w:val="24"/>
        </w:rPr>
        <w:t>4</w:t>
      </w:r>
      <w:r w:rsidR="00997058">
        <w:rPr>
          <w:szCs w:val="24"/>
        </w:rPr>
        <w:t>3</w:t>
      </w:r>
      <w:r w:rsidR="00607ABC">
        <w:rPr>
          <w:szCs w:val="24"/>
        </w:rPr>
        <w:t>.</w:t>
      </w:r>
      <w:r w:rsidR="00607ABC">
        <w:rPr>
          <w:szCs w:val="24"/>
        </w:rPr>
        <w:tab/>
      </w:r>
      <w:r w:rsidR="00D909FF" w:rsidRPr="00D909FF">
        <w:rPr>
          <w:szCs w:val="24"/>
        </w:rPr>
        <w:t>Mr Bolton also acknowledge</w:t>
      </w:r>
      <w:r w:rsidR="00571CDC">
        <w:rPr>
          <w:szCs w:val="24"/>
        </w:rPr>
        <w:t>d</w:t>
      </w:r>
      <w:r w:rsidR="00D909FF" w:rsidRPr="00D909FF">
        <w:rPr>
          <w:szCs w:val="24"/>
        </w:rPr>
        <w:t xml:space="preserve"> </w:t>
      </w:r>
      <w:r w:rsidR="004778C4" w:rsidRPr="004778C4">
        <w:rPr>
          <w:szCs w:val="24"/>
        </w:rPr>
        <w:t xml:space="preserve">that the </w:t>
      </w:r>
      <w:r w:rsidR="00E65136">
        <w:rPr>
          <w:szCs w:val="24"/>
        </w:rPr>
        <w:t>C</w:t>
      </w:r>
      <w:r w:rsidR="004778C4" w:rsidRPr="004778C4">
        <w:rPr>
          <w:szCs w:val="24"/>
        </w:rPr>
        <w:t xml:space="preserve">ouncil did not have a </w:t>
      </w:r>
      <w:r w:rsidR="00AB04DA" w:rsidRPr="004778C4">
        <w:rPr>
          <w:szCs w:val="24"/>
        </w:rPr>
        <w:t>five-year</w:t>
      </w:r>
      <w:r w:rsidR="004778C4" w:rsidRPr="004778C4">
        <w:rPr>
          <w:szCs w:val="24"/>
        </w:rPr>
        <w:t xml:space="preserve"> </w:t>
      </w:r>
      <w:r w:rsidR="00455104">
        <w:rPr>
          <w:szCs w:val="24"/>
        </w:rPr>
        <w:t xml:space="preserve">housing land </w:t>
      </w:r>
      <w:r w:rsidR="004778C4" w:rsidRPr="004778C4">
        <w:rPr>
          <w:szCs w:val="24"/>
        </w:rPr>
        <w:t xml:space="preserve">supply at </w:t>
      </w:r>
      <w:r w:rsidR="00135956">
        <w:rPr>
          <w:szCs w:val="24"/>
        </w:rPr>
        <w:t xml:space="preserve">the </w:t>
      </w:r>
      <w:r w:rsidR="004778C4" w:rsidRPr="004778C4">
        <w:rPr>
          <w:szCs w:val="24"/>
        </w:rPr>
        <w:t xml:space="preserve">valuation date. He says it is reasonable to assume that </w:t>
      </w:r>
      <w:r w:rsidR="001458FB">
        <w:rPr>
          <w:szCs w:val="24"/>
        </w:rPr>
        <w:t>t</w:t>
      </w:r>
      <w:r w:rsidR="001458FB" w:rsidRPr="001458FB">
        <w:rPr>
          <w:szCs w:val="24"/>
        </w:rPr>
        <w:t>he shortfall</w:t>
      </w:r>
      <w:r w:rsidR="001458FB">
        <w:rPr>
          <w:szCs w:val="24"/>
        </w:rPr>
        <w:t xml:space="preserve"> </w:t>
      </w:r>
      <w:r w:rsidR="005B06BF" w:rsidRPr="005B06BF">
        <w:rPr>
          <w:szCs w:val="24"/>
        </w:rPr>
        <w:t xml:space="preserve">would have been made up by using brownfield or </w:t>
      </w:r>
      <w:r w:rsidR="001458FB" w:rsidRPr="001458FB">
        <w:rPr>
          <w:szCs w:val="24"/>
        </w:rPr>
        <w:t>urban</w:t>
      </w:r>
      <w:r w:rsidR="005B06BF" w:rsidRPr="005B06BF">
        <w:rPr>
          <w:szCs w:val="24"/>
        </w:rPr>
        <w:t xml:space="preserve"> </w:t>
      </w:r>
      <w:r w:rsidR="001458FB">
        <w:rPr>
          <w:szCs w:val="24"/>
        </w:rPr>
        <w:t>g</w:t>
      </w:r>
      <w:r w:rsidR="005B06BF" w:rsidRPr="005B06BF">
        <w:rPr>
          <w:szCs w:val="24"/>
        </w:rPr>
        <w:t xml:space="preserve">reenfield sites ahead of any release of </w:t>
      </w:r>
      <w:r w:rsidR="003415BC">
        <w:rPr>
          <w:szCs w:val="24"/>
        </w:rPr>
        <w:t>g</w:t>
      </w:r>
      <w:r w:rsidR="003415BC" w:rsidRPr="005B06BF">
        <w:rPr>
          <w:szCs w:val="24"/>
        </w:rPr>
        <w:t xml:space="preserve">reen </w:t>
      </w:r>
      <w:r w:rsidR="003415BC">
        <w:rPr>
          <w:szCs w:val="24"/>
        </w:rPr>
        <w:t>b</w:t>
      </w:r>
      <w:r w:rsidR="003415BC" w:rsidRPr="005B06BF">
        <w:rPr>
          <w:szCs w:val="24"/>
        </w:rPr>
        <w:t xml:space="preserve">elt </w:t>
      </w:r>
      <w:r w:rsidR="005B06BF" w:rsidRPr="005B06BF">
        <w:rPr>
          <w:szCs w:val="24"/>
        </w:rPr>
        <w:t>land.</w:t>
      </w:r>
      <w:r w:rsidR="00AE1FBF" w:rsidRPr="00AE1FBF">
        <w:rPr>
          <w:szCs w:val="24"/>
        </w:rPr>
        <w:t xml:space="preserve"> </w:t>
      </w:r>
      <w:r w:rsidR="00571CDC">
        <w:rPr>
          <w:szCs w:val="24"/>
        </w:rPr>
        <w:t xml:space="preserve">  </w:t>
      </w:r>
      <w:r w:rsidR="00AE1FBF" w:rsidRPr="00AE1FBF">
        <w:rPr>
          <w:szCs w:val="24"/>
        </w:rPr>
        <w:t xml:space="preserve">It would be necessary to demonstrate </w:t>
      </w:r>
      <w:r w:rsidR="00AB04DA">
        <w:rPr>
          <w:szCs w:val="24"/>
        </w:rPr>
        <w:t>a</w:t>
      </w:r>
      <w:r w:rsidR="00AE1FBF" w:rsidRPr="00AE1FBF">
        <w:rPr>
          <w:szCs w:val="24"/>
        </w:rPr>
        <w:t xml:space="preserve"> series </w:t>
      </w:r>
      <w:r w:rsidR="00AB04DA">
        <w:rPr>
          <w:szCs w:val="24"/>
        </w:rPr>
        <w:t>of</w:t>
      </w:r>
      <w:r w:rsidR="00AE1FBF" w:rsidRPr="00AE1FBF">
        <w:rPr>
          <w:szCs w:val="24"/>
        </w:rPr>
        <w:t xml:space="preserve"> very special circumstances</w:t>
      </w:r>
      <w:r w:rsidR="00E65136" w:rsidRPr="00E65136">
        <w:rPr>
          <w:szCs w:val="24"/>
        </w:rPr>
        <w:t xml:space="preserve"> as well as the lack of supply in order </w:t>
      </w:r>
      <w:r w:rsidR="00AB04DA">
        <w:rPr>
          <w:szCs w:val="24"/>
        </w:rPr>
        <w:t>to</w:t>
      </w:r>
      <w:r w:rsidR="00E65136" w:rsidRPr="00E65136">
        <w:rPr>
          <w:szCs w:val="24"/>
        </w:rPr>
        <w:t xml:space="preserve"> justify </w:t>
      </w:r>
      <w:r w:rsidR="00AB04DA" w:rsidRPr="00E65136">
        <w:rPr>
          <w:szCs w:val="24"/>
        </w:rPr>
        <w:t>amendmen</w:t>
      </w:r>
      <w:r w:rsidR="00AB04DA">
        <w:rPr>
          <w:szCs w:val="24"/>
        </w:rPr>
        <w:t>t</w:t>
      </w:r>
      <w:r w:rsidR="00AB04DA" w:rsidRPr="00E65136">
        <w:rPr>
          <w:szCs w:val="24"/>
        </w:rPr>
        <w:t>s</w:t>
      </w:r>
      <w:r w:rsidR="00E65136" w:rsidRPr="00E65136">
        <w:rPr>
          <w:szCs w:val="24"/>
        </w:rPr>
        <w:t xml:space="preserve"> to the </w:t>
      </w:r>
      <w:r w:rsidR="003872C8">
        <w:rPr>
          <w:szCs w:val="24"/>
        </w:rPr>
        <w:t>g</w:t>
      </w:r>
      <w:r w:rsidR="003872C8" w:rsidRPr="00E65136">
        <w:rPr>
          <w:szCs w:val="24"/>
        </w:rPr>
        <w:t xml:space="preserve">reen </w:t>
      </w:r>
      <w:r w:rsidR="003872C8">
        <w:rPr>
          <w:szCs w:val="24"/>
        </w:rPr>
        <w:t>b</w:t>
      </w:r>
      <w:r w:rsidR="003872C8" w:rsidRPr="00E65136">
        <w:rPr>
          <w:szCs w:val="24"/>
        </w:rPr>
        <w:t xml:space="preserve">elt </w:t>
      </w:r>
      <w:r w:rsidR="00E65136" w:rsidRPr="00E65136">
        <w:rPr>
          <w:szCs w:val="24"/>
        </w:rPr>
        <w:t>boundar</w:t>
      </w:r>
      <w:r w:rsidR="00755C8B">
        <w:rPr>
          <w:szCs w:val="24"/>
        </w:rPr>
        <w:t>y</w:t>
      </w:r>
      <w:r w:rsidR="00AB04DA">
        <w:rPr>
          <w:szCs w:val="24"/>
        </w:rPr>
        <w:t>.</w:t>
      </w:r>
      <w:r w:rsidR="00E65136" w:rsidRPr="00E65136">
        <w:rPr>
          <w:szCs w:val="24"/>
        </w:rPr>
        <w:t xml:space="preserve"> </w:t>
      </w:r>
      <w:r w:rsidR="006921AE">
        <w:rPr>
          <w:szCs w:val="24"/>
        </w:rPr>
        <w:t xml:space="preserve"> </w:t>
      </w:r>
    </w:p>
    <w:p w14:paraId="0968B412" w14:textId="6FC90F98" w:rsidR="001430C1" w:rsidRDefault="00647354" w:rsidP="006E4ABC">
      <w:pPr>
        <w:pStyle w:val="Normal2"/>
        <w:spacing w:after="360"/>
        <w:ind w:left="567" w:hanging="567"/>
        <w:rPr>
          <w:szCs w:val="24"/>
        </w:rPr>
      </w:pPr>
      <w:r>
        <w:rPr>
          <w:szCs w:val="24"/>
        </w:rPr>
        <w:t>4</w:t>
      </w:r>
      <w:r w:rsidR="00997058">
        <w:rPr>
          <w:szCs w:val="24"/>
        </w:rPr>
        <w:t>4</w:t>
      </w:r>
      <w:r w:rsidR="00607ABC">
        <w:rPr>
          <w:szCs w:val="24"/>
        </w:rPr>
        <w:t>.</w:t>
      </w:r>
      <w:r w:rsidR="00607ABC">
        <w:rPr>
          <w:szCs w:val="24"/>
        </w:rPr>
        <w:tab/>
      </w:r>
      <w:r w:rsidR="001430C1" w:rsidRPr="001430C1">
        <w:rPr>
          <w:szCs w:val="24"/>
        </w:rPr>
        <w:t>He note</w:t>
      </w:r>
      <w:r w:rsidR="00F6217A">
        <w:rPr>
          <w:szCs w:val="24"/>
        </w:rPr>
        <w:t>d</w:t>
      </w:r>
      <w:r w:rsidR="001430C1" w:rsidRPr="001430C1">
        <w:rPr>
          <w:szCs w:val="24"/>
        </w:rPr>
        <w:t xml:space="preserve"> that the preparation of the </w:t>
      </w:r>
      <w:r w:rsidR="004B6099">
        <w:rPr>
          <w:szCs w:val="24"/>
        </w:rPr>
        <w:t>L</w:t>
      </w:r>
      <w:r w:rsidR="001430C1" w:rsidRPr="001430C1">
        <w:rPr>
          <w:szCs w:val="24"/>
        </w:rPr>
        <w:t xml:space="preserve">ocal </w:t>
      </w:r>
      <w:r w:rsidR="004B6099">
        <w:rPr>
          <w:szCs w:val="24"/>
        </w:rPr>
        <w:t>P</w:t>
      </w:r>
      <w:r w:rsidR="001430C1" w:rsidRPr="001430C1">
        <w:rPr>
          <w:szCs w:val="24"/>
        </w:rPr>
        <w:t xml:space="preserve">lan Part 2 </w:t>
      </w:r>
      <w:r w:rsidR="00C715A8">
        <w:rPr>
          <w:szCs w:val="24"/>
        </w:rPr>
        <w:t>S</w:t>
      </w:r>
      <w:r w:rsidR="001430C1" w:rsidRPr="001430C1">
        <w:rPr>
          <w:szCs w:val="24"/>
        </w:rPr>
        <w:t xml:space="preserve">ite </w:t>
      </w:r>
      <w:r w:rsidR="00C715A8">
        <w:rPr>
          <w:szCs w:val="24"/>
        </w:rPr>
        <w:t>A</w:t>
      </w:r>
      <w:r w:rsidR="001430C1" w:rsidRPr="001430C1">
        <w:rPr>
          <w:szCs w:val="24"/>
        </w:rPr>
        <w:t xml:space="preserve">llocations </w:t>
      </w:r>
      <w:r w:rsidR="002442C4">
        <w:rPr>
          <w:szCs w:val="24"/>
        </w:rPr>
        <w:t xml:space="preserve">DPD was put on </w:t>
      </w:r>
      <w:r w:rsidR="001430C1" w:rsidRPr="001430C1">
        <w:rPr>
          <w:szCs w:val="24"/>
        </w:rPr>
        <w:t>hold</w:t>
      </w:r>
      <w:r w:rsidR="000D58A6" w:rsidRPr="000D58A6">
        <w:rPr>
          <w:szCs w:val="24"/>
        </w:rPr>
        <w:t xml:space="preserve"> and in the </w:t>
      </w:r>
      <w:r w:rsidR="004B6099" w:rsidRPr="000D58A6">
        <w:rPr>
          <w:szCs w:val="24"/>
        </w:rPr>
        <w:t>circumstances,</w:t>
      </w:r>
      <w:r w:rsidR="000D58A6" w:rsidRPr="000D58A6">
        <w:rPr>
          <w:szCs w:val="24"/>
        </w:rPr>
        <w:t xml:space="preserve"> he </w:t>
      </w:r>
      <w:r w:rsidR="0089656A">
        <w:rPr>
          <w:szCs w:val="24"/>
        </w:rPr>
        <w:t>t</w:t>
      </w:r>
      <w:r w:rsidR="00305C13" w:rsidRPr="00305C13">
        <w:rPr>
          <w:szCs w:val="24"/>
        </w:rPr>
        <w:t xml:space="preserve">urns to the </w:t>
      </w:r>
      <w:r w:rsidR="0089656A">
        <w:rPr>
          <w:szCs w:val="24"/>
        </w:rPr>
        <w:t>C</w:t>
      </w:r>
      <w:r w:rsidR="00305C13" w:rsidRPr="00305C13">
        <w:rPr>
          <w:szCs w:val="24"/>
        </w:rPr>
        <w:t xml:space="preserve">ore </w:t>
      </w:r>
      <w:r w:rsidR="0089656A">
        <w:rPr>
          <w:szCs w:val="24"/>
        </w:rPr>
        <w:t>S</w:t>
      </w:r>
      <w:r w:rsidR="00305C13" w:rsidRPr="00305C13">
        <w:rPr>
          <w:szCs w:val="24"/>
        </w:rPr>
        <w:t>trategy which contains detailed guidance in conne</w:t>
      </w:r>
      <w:r w:rsidR="0089656A">
        <w:rPr>
          <w:szCs w:val="24"/>
        </w:rPr>
        <w:t>ct</w:t>
      </w:r>
      <w:r w:rsidR="00305C13" w:rsidRPr="00305C13">
        <w:rPr>
          <w:szCs w:val="24"/>
        </w:rPr>
        <w:t>ion with the quantum of development proposed</w:t>
      </w:r>
      <w:r w:rsidR="0022419C" w:rsidRPr="0022419C">
        <w:rPr>
          <w:szCs w:val="24"/>
        </w:rPr>
        <w:t xml:space="preserve"> and its location.</w:t>
      </w:r>
      <w:r w:rsidR="00664C5F" w:rsidRPr="00664C5F">
        <w:rPr>
          <w:szCs w:val="24"/>
        </w:rPr>
        <w:t xml:space="preserve"> </w:t>
      </w:r>
      <w:r w:rsidR="00784542">
        <w:rPr>
          <w:szCs w:val="24"/>
        </w:rPr>
        <w:t>T</w:t>
      </w:r>
      <w:r w:rsidR="00664C5F" w:rsidRPr="00664C5F">
        <w:rPr>
          <w:szCs w:val="24"/>
        </w:rPr>
        <w:t xml:space="preserve">he </w:t>
      </w:r>
      <w:r w:rsidR="00784542">
        <w:rPr>
          <w:szCs w:val="24"/>
        </w:rPr>
        <w:t>Core</w:t>
      </w:r>
      <w:r w:rsidR="00664C5F" w:rsidRPr="00664C5F">
        <w:rPr>
          <w:szCs w:val="24"/>
        </w:rPr>
        <w:t xml:space="preserve"> </w:t>
      </w:r>
      <w:r w:rsidR="00784542">
        <w:rPr>
          <w:szCs w:val="24"/>
        </w:rPr>
        <w:t>S</w:t>
      </w:r>
      <w:r w:rsidR="00664C5F" w:rsidRPr="00664C5F">
        <w:rPr>
          <w:szCs w:val="24"/>
        </w:rPr>
        <w:t>trategy</w:t>
      </w:r>
      <w:r w:rsidR="00A357F2" w:rsidRPr="00A357F2">
        <w:rPr>
          <w:szCs w:val="24"/>
        </w:rPr>
        <w:t xml:space="preserve"> </w:t>
      </w:r>
      <w:r w:rsidR="004B6099">
        <w:rPr>
          <w:szCs w:val="24"/>
        </w:rPr>
        <w:t xml:space="preserve">also </w:t>
      </w:r>
      <w:r w:rsidR="00784542">
        <w:rPr>
          <w:szCs w:val="24"/>
        </w:rPr>
        <w:t>p</w:t>
      </w:r>
      <w:r w:rsidR="00A357F2" w:rsidRPr="00A357F2">
        <w:rPr>
          <w:szCs w:val="24"/>
        </w:rPr>
        <w:t xml:space="preserve">rovides guidance on the release of urban </w:t>
      </w:r>
      <w:r w:rsidR="003415BC">
        <w:rPr>
          <w:szCs w:val="24"/>
        </w:rPr>
        <w:t>g</w:t>
      </w:r>
      <w:r w:rsidR="003415BC" w:rsidRPr="00A357F2">
        <w:rPr>
          <w:szCs w:val="24"/>
        </w:rPr>
        <w:t xml:space="preserve">reenfield </w:t>
      </w:r>
      <w:r w:rsidR="00A357F2" w:rsidRPr="00A357F2">
        <w:rPr>
          <w:szCs w:val="24"/>
        </w:rPr>
        <w:t xml:space="preserve">land and </w:t>
      </w:r>
      <w:r w:rsidR="003415BC">
        <w:rPr>
          <w:szCs w:val="24"/>
        </w:rPr>
        <w:t>gr</w:t>
      </w:r>
      <w:r w:rsidR="003415BC" w:rsidRPr="00A357F2">
        <w:rPr>
          <w:szCs w:val="24"/>
        </w:rPr>
        <w:t xml:space="preserve">een </w:t>
      </w:r>
      <w:r w:rsidR="003415BC">
        <w:rPr>
          <w:szCs w:val="24"/>
        </w:rPr>
        <w:t>b</w:t>
      </w:r>
      <w:r w:rsidR="003415BC" w:rsidRPr="00A357F2">
        <w:rPr>
          <w:szCs w:val="24"/>
        </w:rPr>
        <w:t xml:space="preserve">elt </w:t>
      </w:r>
      <w:r w:rsidR="00A357F2" w:rsidRPr="00A357F2">
        <w:rPr>
          <w:szCs w:val="24"/>
        </w:rPr>
        <w:t xml:space="preserve">land for development and </w:t>
      </w:r>
      <w:r w:rsidR="00784542">
        <w:rPr>
          <w:szCs w:val="24"/>
        </w:rPr>
        <w:t xml:space="preserve">in Mr Bolton’s view </w:t>
      </w:r>
      <w:r w:rsidR="00A357F2" w:rsidRPr="00A357F2">
        <w:rPr>
          <w:szCs w:val="24"/>
        </w:rPr>
        <w:t>these policies</w:t>
      </w:r>
      <w:r w:rsidR="00492C2A" w:rsidRPr="00492C2A">
        <w:rPr>
          <w:szCs w:val="24"/>
        </w:rPr>
        <w:t xml:space="preserve"> </w:t>
      </w:r>
      <w:r w:rsidR="00784542">
        <w:rPr>
          <w:szCs w:val="24"/>
        </w:rPr>
        <w:t>w</w:t>
      </w:r>
      <w:r w:rsidR="00492C2A" w:rsidRPr="00492C2A">
        <w:rPr>
          <w:szCs w:val="24"/>
        </w:rPr>
        <w:t xml:space="preserve">ould have been followed by the </w:t>
      </w:r>
      <w:r w:rsidR="00784542">
        <w:rPr>
          <w:szCs w:val="24"/>
        </w:rPr>
        <w:t>C</w:t>
      </w:r>
      <w:r w:rsidR="00492C2A" w:rsidRPr="00492C2A">
        <w:rPr>
          <w:szCs w:val="24"/>
        </w:rPr>
        <w:t>ouncil</w:t>
      </w:r>
      <w:r w:rsidR="00784542" w:rsidRPr="00784542">
        <w:rPr>
          <w:szCs w:val="24"/>
        </w:rPr>
        <w:t xml:space="preserve"> in allocating sites for development</w:t>
      </w:r>
      <w:r w:rsidR="00784542">
        <w:rPr>
          <w:szCs w:val="24"/>
        </w:rPr>
        <w:t>.</w:t>
      </w:r>
      <w:r w:rsidR="004A797A">
        <w:rPr>
          <w:szCs w:val="24"/>
        </w:rPr>
        <w:t xml:space="preserve">   </w:t>
      </w:r>
      <w:r w:rsidR="0001563A">
        <w:rPr>
          <w:szCs w:val="24"/>
        </w:rPr>
        <w:t xml:space="preserve">In his summary of the position he stated that </w:t>
      </w:r>
      <w:r w:rsidR="00F01E2B">
        <w:rPr>
          <w:szCs w:val="24"/>
        </w:rPr>
        <w:t xml:space="preserve">the grazing land would have featured as the </w:t>
      </w:r>
      <w:r w:rsidR="003A552E">
        <w:rPr>
          <w:szCs w:val="24"/>
        </w:rPr>
        <w:t xml:space="preserve">fourth most sequentially preferable location </w:t>
      </w:r>
      <w:r w:rsidR="006E0C13">
        <w:rPr>
          <w:szCs w:val="24"/>
        </w:rPr>
        <w:t xml:space="preserve">and </w:t>
      </w:r>
      <w:r w:rsidR="00844ABA">
        <w:rPr>
          <w:szCs w:val="24"/>
        </w:rPr>
        <w:t xml:space="preserve">noted the </w:t>
      </w:r>
      <w:r w:rsidR="00F376F4">
        <w:rPr>
          <w:szCs w:val="24"/>
        </w:rPr>
        <w:t xml:space="preserve">definition of ‘suitable sites’ in Policy CS4 which I </w:t>
      </w:r>
      <w:r w:rsidR="00EE1273">
        <w:rPr>
          <w:szCs w:val="24"/>
        </w:rPr>
        <w:t>mention</w:t>
      </w:r>
      <w:r w:rsidR="00F376F4">
        <w:rPr>
          <w:szCs w:val="24"/>
        </w:rPr>
        <w:t xml:space="preserve"> above in </w:t>
      </w:r>
      <w:r w:rsidR="00EE1273">
        <w:rPr>
          <w:szCs w:val="24"/>
        </w:rPr>
        <w:t xml:space="preserve">paragraph </w:t>
      </w:r>
      <w:r w:rsidR="00886C04">
        <w:rPr>
          <w:szCs w:val="24"/>
        </w:rPr>
        <w:t xml:space="preserve">28.  </w:t>
      </w:r>
      <w:r w:rsidR="00C8501B">
        <w:rPr>
          <w:szCs w:val="24"/>
        </w:rPr>
        <w:t>He d</w:t>
      </w:r>
      <w:r w:rsidR="00F6217A">
        <w:rPr>
          <w:szCs w:val="24"/>
        </w:rPr>
        <w:t>id</w:t>
      </w:r>
      <w:r w:rsidR="00C8501B">
        <w:rPr>
          <w:szCs w:val="24"/>
        </w:rPr>
        <w:t xml:space="preserve"> concede however, that it </w:t>
      </w:r>
      <w:r w:rsidR="00A33D37">
        <w:rPr>
          <w:szCs w:val="24"/>
        </w:rPr>
        <w:t>was</w:t>
      </w:r>
      <w:r w:rsidR="00C8501B">
        <w:rPr>
          <w:szCs w:val="24"/>
        </w:rPr>
        <w:t xml:space="preserve"> possible given the </w:t>
      </w:r>
      <w:r w:rsidR="00622CAB">
        <w:rPr>
          <w:szCs w:val="24"/>
        </w:rPr>
        <w:t>shortfall in the five-year supply</w:t>
      </w:r>
      <w:r w:rsidR="008B5A77">
        <w:rPr>
          <w:szCs w:val="24"/>
        </w:rPr>
        <w:t xml:space="preserve">, that some </w:t>
      </w:r>
      <w:r w:rsidR="00EC61EE">
        <w:rPr>
          <w:szCs w:val="24"/>
        </w:rPr>
        <w:t xml:space="preserve">green belt </w:t>
      </w:r>
      <w:r w:rsidR="000A69C9">
        <w:rPr>
          <w:szCs w:val="24"/>
        </w:rPr>
        <w:t xml:space="preserve">land </w:t>
      </w:r>
      <w:r w:rsidR="008B5A77">
        <w:rPr>
          <w:szCs w:val="24"/>
        </w:rPr>
        <w:t>release would be required.</w:t>
      </w:r>
      <w:r w:rsidR="004F7C0C">
        <w:rPr>
          <w:szCs w:val="24"/>
        </w:rPr>
        <w:t xml:space="preserve"> </w:t>
      </w:r>
    </w:p>
    <w:p w14:paraId="0F6821EC" w14:textId="77777777" w:rsidR="006E4ABC" w:rsidRDefault="006E4ABC" w:rsidP="006E4ABC">
      <w:pPr>
        <w:pStyle w:val="Normal2"/>
        <w:spacing w:after="360"/>
        <w:ind w:left="567" w:hanging="567"/>
        <w:rPr>
          <w:szCs w:val="24"/>
        </w:rPr>
      </w:pPr>
    </w:p>
    <w:p w14:paraId="7E8345BC" w14:textId="77777777" w:rsidR="00F778E5" w:rsidRPr="00F778E5" w:rsidRDefault="00F778E5" w:rsidP="00F778E5">
      <w:pPr>
        <w:spacing w:after="360" w:line="256" w:lineRule="auto"/>
        <w:ind w:left="567" w:hanging="567"/>
        <w:jc w:val="both"/>
        <w:rPr>
          <w:i/>
          <w:iCs/>
          <w:szCs w:val="24"/>
        </w:rPr>
      </w:pPr>
      <w:r w:rsidRPr="00F778E5">
        <w:rPr>
          <w:i/>
          <w:iCs/>
          <w:szCs w:val="24"/>
        </w:rPr>
        <w:lastRenderedPageBreak/>
        <w:t>Green belt assessment</w:t>
      </w:r>
    </w:p>
    <w:p w14:paraId="0D174465" w14:textId="36901497" w:rsidR="00F778E5" w:rsidRPr="00F778E5" w:rsidRDefault="00997058" w:rsidP="00647354">
      <w:pPr>
        <w:spacing w:after="360" w:line="256" w:lineRule="auto"/>
        <w:ind w:left="567" w:hanging="567"/>
        <w:jc w:val="both"/>
        <w:rPr>
          <w:szCs w:val="24"/>
        </w:rPr>
      </w:pPr>
      <w:r>
        <w:rPr>
          <w:szCs w:val="24"/>
        </w:rPr>
        <w:t>45</w:t>
      </w:r>
      <w:r w:rsidR="00647354">
        <w:rPr>
          <w:szCs w:val="24"/>
        </w:rPr>
        <w:t>.</w:t>
      </w:r>
      <w:r w:rsidR="00647354">
        <w:rPr>
          <w:szCs w:val="24"/>
        </w:rPr>
        <w:tab/>
      </w:r>
      <w:r w:rsidR="00AD18E0">
        <w:rPr>
          <w:szCs w:val="24"/>
        </w:rPr>
        <w:t xml:space="preserve">I now turn to </w:t>
      </w:r>
      <w:r w:rsidR="00F25942">
        <w:rPr>
          <w:szCs w:val="24"/>
        </w:rPr>
        <w:t xml:space="preserve">the experts’ views on </w:t>
      </w:r>
      <w:r w:rsidR="00A201A9">
        <w:rPr>
          <w:szCs w:val="24"/>
        </w:rPr>
        <w:t xml:space="preserve">the contribution of the grazing land </w:t>
      </w:r>
      <w:r w:rsidR="003F5D97">
        <w:rPr>
          <w:szCs w:val="24"/>
        </w:rPr>
        <w:t xml:space="preserve">to the purposes of the </w:t>
      </w:r>
      <w:r w:rsidR="00B86648">
        <w:rPr>
          <w:szCs w:val="24"/>
        </w:rPr>
        <w:t xml:space="preserve">green belt.   </w:t>
      </w:r>
      <w:r w:rsidR="00F778E5" w:rsidRPr="00F778E5">
        <w:rPr>
          <w:szCs w:val="24"/>
        </w:rPr>
        <w:t>Paragraph 83 of the NPPF says that green belt boundaries should only be altered in exceptional circumstances</w:t>
      </w:r>
      <w:r w:rsidR="00B86648">
        <w:rPr>
          <w:szCs w:val="24"/>
        </w:rPr>
        <w:t xml:space="preserve"> and wh</w:t>
      </w:r>
      <w:r w:rsidR="00F778E5" w:rsidRPr="00F778E5">
        <w:rPr>
          <w:szCs w:val="24"/>
        </w:rPr>
        <w:t xml:space="preserve">ere a LPA cannot meet its housing needs without utilising green belt land a green belt assessment should be undertaken as part of the evidence base for a Local Plan review.    Both experts undertook such an assessment, but Mr Williams stressed that a site might be found to make a strong contribution to one or more purposes of Green Belt yet still be allocated for development.  He also observed that Paragraph 84 of the NPPF requires Councils to promote sustainable patterns of development in reviewing green belt boundaries, with the implication that an accessible site adjoining the urban area might be favoured over a more peripheral location. </w:t>
      </w:r>
      <w:r w:rsidR="004F7B44">
        <w:rPr>
          <w:szCs w:val="24"/>
        </w:rPr>
        <w:t xml:space="preserve"> Mr Bolto</w:t>
      </w:r>
      <w:r w:rsidR="006171C1">
        <w:rPr>
          <w:szCs w:val="24"/>
        </w:rPr>
        <w:t xml:space="preserve">n’s assessment was in relation to Parcel SP68 which is a larger site </w:t>
      </w:r>
      <w:r w:rsidR="009A0768">
        <w:rPr>
          <w:szCs w:val="24"/>
        </w:rPr>
        <w:t>of which the grazing land forms part.</w:t>
      </w:r>
    </w:p>
    <w:p w14:paraId="50A79D59" w14:textId="2F13CB74" w:rsidR="00F778E5" w:rsidRPr="00F778E5" w:rsidRDefault="00997058" w:rsidP="00F778E5">
      <w:pPr>
        <w:spacing w:after="360" w:line="256" w:lineRule="auto"/>
        <w:ind w:left="567" w:hanging="567"/>
        <w:jc w:val="both"/>
        <w:rPr>
          <w:szCs w:val="24"/>
        </w:rPr>
      </w:pPr>
      <w:r>
        <w:rPr>
          <w:szCs w:val="24"/>
        </w:rPr>
        <w:t>46</w:t>
      </w:r>
      <w:r w:rsidR="00647354">
        <w:rPr>
          <w:szCs w:val="24"/>
        </w:rPr>
        <w:t>.</w:t>
      </w:r>
      <w:r w:rsidR="00647354">
        <w:rPr>
          <w:szCs w:val="24"/>
        </w:rPr>
        <w:tab/>
      </w:r>
      <w:r w:rsidR="00F778E5" w:rsidRPr="00F778E5">
        <w:rPr>
          <w:szCs w:val="24"/>
        </w:rPr>
        <w:t>The experts made the following assessments in relation to the five purposes of the green belt:</w:t>
      </w:r>
    </w:p>
    <w:p w14:paraId="494C442F" w14:textId="04183310" w:rsidR="00F778E5" w:rsidRPr="004016F9" w:rsidRDefault="00F778E5" w:rsidP="004016F9">
      <w:pPr>
        <w:pStyle w:val="ListParagraph"/>
        <w:numPr>
          <w:ilvl w:val="0"/>
          <w:numId w:val="32"/>
        </w:numPr>
        <w:spacing w:after="360" w:line="256" w:lineRule="auto"/>
        <w:jc w:val="both"/>
        <w:rPr>
          <w:szCs w:val="24"/>
        </w:rPr>
      </w:pPr>
      <w:r w:rsidRPr="004016F9">
        <w:rPr>
          <w:szCs w:val="24"/>
        </w:rPr>
        <w:t>To check the unrestricted sprawl of large built-up areas</w:t>
      </w:r>
    </w:p>
    <w:p w14:paraId="0DE0ABA6" w14:textId="77777777" w:rsidR="00F778E5" w:rsidRPr="00F778E5" w:rsidRDefault="00F778E5" w:rsidP="00F778E5">
      <w:pPr>
        <w:spacing w:after="360" w:line="256" w:lineRule="auto"/>
        <w:ind w:left="1440"/>
        <w:jc w:val="both"/>
        <w:rPr>
          <w:szCs w:val="24"/>
        </w:rPr>
      </w:pPr>
      <w:r w:rsidRPr="00F778E5">
        <w:rPr>
          <w:szCs w:val="24"/>
        </w:rPr>
        <w:t>Mr Williams did not consider that a modest and planned urban extension on the edge of Hazel Grove would constitute ‘unrestricted’ sprawl. In his view the flood plain provides a permanent boundary due to flood risk.   He judged the contribution to preventing sprawl to be weak.</w:t>
      </w:r>
    </w:p>
    <w:p w14:paraId="7F25BA58" w14:textId="309C226E" w:rsidR="00F778E5" w:rsidRPr="00F778E5" w:rsidRDefault="00F778E5" w:rsidP="00F778E5">
      <w:pPr>
        <w:spacing w:line="256" w:lineRule="auto"/>
        <w:ind w:left="1440"/>
        <w:rPr>
          <w:szCs w:val="24"/>
        </w:rPr>
      </w:pPr>
      <w:r w:rsidRPr="00F778E5">
        <w:rPr>
          <w:szCs w:val="24"/>
        </w:rPr>
        <w:t xml:space="preserve">Mr Bolton took a more nuanced approach based on two </w:t>
      </w:r>
      <w:r w:rsidR="00163BA5">
        <w:rPr>
          <w:szCs w:val="24"/>
        </w:rPr>
        <w:t>considerations</w:t>
      </w:r>
      <w:r w:rsidRPr="00F778E5">
        <w:rPr>
          <w:szCs w:val="24"/>
        </w:rPr>
        <w:t>.  Firstly, does the parcel exhibit evidence of existing urban sprawl and consequent loss of openness?  He classified the site’s performance as ‘strong’ commenting that he agreed with the view put forward within the 2016 GMSF assessment that “the parcel plays a key role towards checking the unrestricted sprawl of Norbury House and Hazel Grove.” He considered that in a no scheme world, it is reasonable to assume that the site would have continued to provide such a role.</w:t>
      </w:r>
    </w:p>
    <w:p w14:paraId="656AC744" w14:textId="77777777" w:rsidR="00F778E5" w:rsidRPr="00F778E5" w:rsidRDefault="00F778E5" w:rsidP="00F778E5">
      <w:pPr>
        <w:spacing w:line="256" w:lineRule="auto"/>
        <w:ind w:left="1440"/>
        <w:rPr>
          <w:szCs w:val="24"/>
        </w:rPr>
      </w:pPr>
    </w:p>
    <w:p w14:paraId="4C6B5AF0" w14:textId="77777777" w:rsidR="00F778E5" w:rsidRPr="00F778E5" w:rsidRDefault="00F778E5" w:rsidP="00F778E5">
      <w:pPr>
        <w:spacing w:before="120" w:after="360"/>
        <w:ind w:left="1440"/>
        <w:jc w:val="both"/>
        <w:rPr>
          <w:szCs w:val="24"/>
        </w:rPr>
      </w:pPr>
      <w:r w:rsidRPr="00F778E5">
        <w:rPr>
          <w:szCs w:val="24"/>
        </w:rPr>
        <w:t xml:space="preserve">Secondly, does the parcel protect open land from the potential for urban sprawl to occur? Again, Mr Bolton’s classification is ‘strong’, agreeing with the 2016 GMSF assessment that “the parcel is adjacent to Hazel Grove. There are no strong barrier features on urban edge Hazel Grove that could prevent urban sprawl from taking place within the parcel.” He goes on to say that in the absence of such a barrier, he concludes that the role of this parcel would have been of increased importance at the valuation date.  </w:t>
      </w:r>
    </w:p>
    <w:p w14:paraId="4D8C7DDB" w14:textId="1F4C8E43" w:rsidR="00F778E5" w:rsidRPr="004016F9" w:rsidRDefault="00F778E5" w:rsidP="004016F9">
      <w:pPr>
        <w:pStyle w:val="ListParagraph"/>
        <w:numPr>
          <w:ilvl w:val="0"/>
          <w:numId w:val="32"/>
        </w:numPr>
        <w:spacing w:after="360" w:line="256" w:lineRule="auto"/>
        <w:jc w:val="both"/>
        <w:rPr>
          <w:szCs w:val="24"/>
        </w:rPr>
      </w:pPr>
      <w:r w:rsidRPr="004016F9">
        <w:rPr>
          <w:szCs w:val="24"/>
        </w:rPr>
        <w:t xml:space="preserve">To prevent neighbouring towns from merging into one another </w:t>
      </w:r>
    </w:p>
    <w:p w14:paraId="21C51E24" w14:textId="274DEA1B" w:rsidR="00F778E5" w:rsidRPr="00F778E5" w:rsidRDefault="00F778E5" w:rsidP="00F778E5">
      <w:pPr>
        <w:spacing w:after="360" w:line="256" w:lineRule="auto"/>
        <w:ind w:left="1440"/>
        <w:jc w:val="both"/>
        <w:rPr>
          <w:szCs w:val="24"/>
        </w:rPr>
      </w:pPr>
      <w:r w:rsidRPr="00F778E5">
        <w:rPr>
          <w:szCs w:val="24"/>
        </w:rPr>
        <w:t xml:space="preserve">Mr Williams said that it is a matter of fact that Hazel Grove and Poynton are relatively close together in this location. The situation on the ground is that </w:t>
      </w:r>
      <w:r w:rsidR="00431C8C">
        <w:rPr>
          <w:szCs w:val="24"/>
        </w:rPr>
        <w:t xml:space="preserve">there </w:t>
      </w:r>
      <w:r w:rsidRPr="00F778E5">
        <w:rPr>
          <w:szCs w:val="24"/>
        </w:rPr>
        <w:t xml:space="preserve">is very little physical separation on the eastern side of London Road.  He also </w:t>
      </w:r>
      <w:r w:rsidRPr="00F778E5">
        <w:rPr>
          <w:szCs w:val="24"/>
        </w:rPr>
        <w:lastRenderedPageBreak/>
        <w:t xml:space="preserve">concluded that Brookside Garden Centre already encroaches into this area, and at the valuation date there were car parking areas and small buildings which were closer to the site. </w:t>
      </w:r>
    </w:p>
    <w:p w14:paraId="22220DEB" w14:textId="0CD65DE7" w:rsidR="00F778E5" w:rsidRPr="00F778E5" w:rsidRDefault="00F778E5" w:rsidP="00F778E5">
      <w:pPr>
        <w:spacing w:after="360" w:line="256" w:lineRule="auto"/>
        <w:ind w:left="1440"/>
        <w:jc w:val="both"/>
        <w:rPr>
          <w:szCs w:val="24"/>
        </w:rPr>
      </w:pPr>
      <w:r w:rsidRPr="00F778E5">
        <w:rPr>
          <w:szCs w:val="24"/>
        </w:rPr>
        <w:t xml:space="preserve">Mr Williams’ analysis is that to the south of Brookside Garden Centre, the area of suburban housing between Anglesey Drive and Towers Road and with a frontage onto London Road North represents a major extension of the built-up area of Poynton into what would otherwise have been an open area between Hazel Grove and Poynton.  The presence of the garden centre and the Anglesey Drive/Towers Road housing area means that Hazel Grove and Poynton do not have separate and distinct identities in this location. Somebody travelling in a vehicle along London Road North would not have any real perception that they had left one town, passed through an area of open </w:t>
      </w:r>
      <w:r w:rsidR="00497426" w:rsidRPr="00F778E5">
        <w:rPr>
          <w:szCs w:val="24"/>
        </w:rPr>
        <w:t>countryside,</w:t>
      </w:r>
      <w:r w:rsidRPr="00F778E5">
        <w:rPr>
          <w:szCs w:val="24"/>
        </w:rPr>
        <w:t xml:space="preserve"> and entered a different town. </w:t>
      </w:r>
    </w:p>
    <w:p w14:paraId="0F7CA4C0" w14:textId="77777777" w:rsidR="00F778E5" w:rsidRPr="00F778E5" w:rsidRDefault="00F778E5" w:rsidP="00F778E5">
      <w:pPr>
        <w:spacing w:after="360" w:line="256" w:lineRule="auto"/>
        <w:ind w:left="1440"/>
        <w:jc w:val="both"/>
        <w:rPr>
          <w:szCs w:val="24"/>
        </w:rPr>
      </w:pPr>
      <w:r w:rsidRPr="00F778E5">
        <w:rPr>
          <w:szCs w:val="24"/>
        </w:rPr>
        <w:t>He expressed the view that there is a clear area of separation to the west side of London Road North, which limits the degree of merger between the towns. He accepted that the site does make some contribution to separation because it is open. However, he believed that built development directly to the west of the subject site restricts the degree to which the wider green belt is genuinely open in this vicinity.  His conclusion was that the contribution under this heading was moderate.</w:t>
      </w:r>
    </w:p>
    <w:p w14:paraId="3BC90BF4" w14:textId="752D850A" w:rsidR="00F778E5" w:rsidRPr="00F778E5" w:rsidRDefault="00F778E5" w:rsidP="00F778E5">
      <w:pPr>
        <w:spacing w:after="360" w:line="256" w:lineRule="auto"/>
        <w:ind w:left="1440"/>
        <w:jc w:val="both"/>
        <w:rPr>
          <w:szCs w:val="24"/>
        </w:rPr>
      </w:pPr>
      <w:r w:rsidRPr="00F778E5">
        <w:rPr>
          <w:szCs w:val="24"/>
        </w:rPr>
        <w:t xml:space="preserve">Mr Bolton preferred to define the question as: Does the parcel prevent the merging or erosion of the visual or physical gap between neighbouring settlements? He classifies the site’s performance is ‘strong’.  He comments that in a no-scheme world the site played a fundamental role in preventing Poynton and Hazel Grove merging into one another.  He is again in agreement </w:t>
      </w:r>
      <w:r w:rsidR="00411B8A">
        <w:rPr>
          <w:szCs w:val="24"/>
        </w:rPr>
        <w:t xml:space="preserve">with the </w:t>
      </w:r>
      <w:r w:rsidRPr="00F778E5">
        <w:rPr>
          <w:szCs w:val="24"/>
        </w:rPr>
        <w:t>2016 GMSF assessment.</w:t>
      </w:r>
    </w:p>
    <w:p w14:paraId="2ADC5DF1" w14:textId="77777777" w:rsidR="00F778E5" w:rsidRPr="00F778E5" w:rsidRDefault="00F778E5" w:rsidP="00F778E5">
      <w:pPr>
        <w:autoSpaceDE w:val="0"/>
        <w:autoSpaceDN w:val="0"/>
        <w:adjustRightInd w:val="0"/>
        <w:rPr>
          <w:color w:val="000000"/>
          <w:spacing w:val="0"/>
          <w:szCs w:val="24"/>
          <w:highlight w:val="yellow"/>
        </w:rPr>
      </w:pPr>
    </w:p>
    <w:p w14:paraId="630CB945" w14:textId="77777777" w:rsidR="00F778E5" w:rsidRPr="00F778E5" w:rsidRDefault="00F778E5" w:rsidP="004016F9">
      <w:pPr>
        <w:numPr>
          <w:ilvl w:val="0"/>
          <w:numId w:val="32"/>
        </w:numPr>
        <w:autoSpaceDE w:val="0"/>
        <w:autoSpaceDN w:val="0"/>
        <w:adjustRightInd w:val="0"/>
        <w:ind w:hanging="382"/>
        <w:rPr>
          <w:color w:val="000000"/>
          <w:spacing w:val="0"/>
          <w:szCs w:val="24"/>
        </w:rPr>
      </w:pPr>
      <w:r w:rsidRPr="00F778E5">
        <w:rPr>
          <w:color w:val="000000"/>
          <w:spacing w:val="0"/>
          <w:szCs w:val="24"/>
        </w:rPr>
        <w:t xml:space="preserve">To assist in safeguarding the countryside from encroachment </w:t>
      </w:r>
    </w:p>
    <w:p w14:paraId="7A2C7A48" w14:textId="77777777" w:rsidR="00F778E5" w:rsidRPr="00F778E5" w:rsidRDefault="00F778E5" w:rsidP="00F778E5">
      <w:pPr>
        <w:numPr>
          <w:ilvl w:val="8"/>
          <w:numId w:val="6"/>
        </w:numPr>
        <w:spacing w:after="360" w:line="256" w:lineRule="auto"/>
        <w:ind w:left="1418" w:hanging="142"/>
        <w:jc w:val="both"/>
        <w:rPr>
          <w:szCs w:val="24"/>
        </w:rPr>
      </w:pPr>
    </w:p>
    <w:p w14:paraId="175C23C7" w14:textId="77777777" w:rsidR="00F778E5" w:rsidRPr="00F778E5" w:rsidRDefault="00F778E5" w:rsidP="00F778E5">
      <w:pPr>
        <w:numPr>
          <w:ilvl w:val="8"/>
          <w:numId w:val="6"/>
        </w:numPr>
        <w:spacing w:after="360" w:line="256" w:lineRule="auto"/>
        <w:ind w:left="1418" w:hanging="142"/>
        <w:jc w:val="both"/>
        <w:rPr>
          <w:szCs w:val="24"/>
        </w:rPr>
      </w:pPr>
      <w:r w:rsidRPr="00F778E5">
        <w:rPr>
          <w:szCs w:val="24"/>
        </w:rPr>
        <w:t>Mr Williams thought that without the A6-MARR the site would already have had an urban fringe character owing to the suburban housing on its northern boundary and the buildings and car parking of the adjacent and extended garden centre to the south.  He assessment of the contribution was ‘weak’.</w:t>
      </w:r>
    </w:p>
    <w:p w14:paraId="44D55A71" w14:textId="77777777" w:rsidR="00F778E5" w:rsidRPr="00F778E5" w:rsidRDefault="00F778E5" w:rsidP="00F778E5">
      <w:pPr>
        <w:numPr>
          <w:ilvl w:val="0"/>
          <w:numId w:val="6"/>
        </w:numPr>
        <w:spacing w:before="120" w:after="360"/>
        <w:ind w:left="1440"/>
        <w:jc w:val="both"/>
        <w:rPr>
          <w:szCs w:val="24"/>
        </w:rPr>
      </w:pPr>
      <w:r w:rsidRPr="00F778E5">
        <w:rPr>
          <w:szCs w:val="24"/>
        </w:rPr>
        <w:t>Again, Mr Bolton develops the question as:</w:t>
      </w:r>
      <w:r w:rsidRPr="00F778E5">
        <w:rPr>
          <w:i/>
          <w:iCs/>
          <w:szCs w:val="24"/>
        </w:rPr>
        <w:t xml:space="preserve"> </w:t>
      </w:r>
      <w:r w:rsidRPr="00F778E5">
        <w:rPr>
          <w:szCs w:val="24"/>
        </w:rPr>
        <w:t>Does the parcel have the characteristics of countryside and/or connect to land with the characteristics of countryside? Has the parcel already been affected by encroachment of urbanised built development?</w:t>
      </w:r>
      <w:r w:rsidRPr="00F778E5">
        <w:rPr>
          <w:i/>
          <w:iCs/>
          <w:szCs w:val="24"/>
        </w:rPr>
        <w:t xml:space="preserve"> </w:t>
      </w:r>
      <w:r w:rsidRPr="00F778E5">
        <w:rPr>
          <w:szCs w:val="24"/>
        </w:rPr>
        <w:t>His assessment is</w:t>
      </w:r>
      <w:r w:rsidRPr="00F778E5">
        <w:rPr>
          <w:i/>
          <w:iCs/>
          <w:szCs w:val="24"/>
        </w:rPr>
        <w:t xml:space="preserve"> ‘</w:t>
      </w:r>
      <w:r w:rsidRPr="00F778E5">
        <w:rPr>
          <w:szCs w:val="24"/>
        </w:rPr>
        <w:t xml:space="preserve">Weak/Moderate’.  He concludes that in a no-scheme scenario the site would retain some characteristics of the countryside. However, that site contains a car park which has an urbanising effect. </w:t>
      </w:r>
    </w:p>
    <w:p w14:paraId="47FB7006" w14:textId="77777777" w:rsidR="00F778E5" w:rsidRPr="00F778E5" w:rsidRDefault="00F778E5" w:rsidP="00F778E5">
      <w:pPr>
        <w:numPr>
          <w:ilvl w:val="0"/>
          <w:numId w:val="7"/>
        </w:numPr>
        <w:spacing w:after="360" w:line="256" w:lineRule="auto"/>
        <w:ind w:firstLine="1134"/>
        <w:jc w:val="both"/>
        <w:rPr>
          <w:szCs w:val="24"/>
        </w:rPr>
      </w:pPr>
      <w:r w:rsidRPr="00F778E5">
        <w:rPr>
          <w:szCs w:val="24"/>
        </w:rPr>
        <w:t xml:space="preserve">(d) To preserve the setting and special character of historic towns </w:t>
      </w:r>
    </w:p>
    <w:p w14:paraId="14058141" w14:textId="77777777" w:rsidR="00F778E5" w:rsidRPr="00F778E5" w:rsidRDefault="00F778E5" w:rsidP="00F778E5">
      <w:pPr>
        <w:spacing w:after="360" w:line="256" w:lineRule="auto"/>
        <w:ind w:left="1418" w:firstLine="22"/>
        <w:jc w:val="both"/>
        <w:rPr>
          <w:szCs w:val="24"/>
        </w:rPr>
      </w:pPr>
      <w:r w:rsidRPr="00F778E5">
        <w:rPr>
          <w:szCs w:val="24"/>
        </w:rPr>
        <w:lastRenderedPageBreak/>
        <w:t>Mr Williams says this purpose is not applicable or weak whilst Mr Bolton believes that there is no contribution at the valuation date.</w:t>
      </w:r>
    </w:p>
    <w:p w14:paraId="323C63BF" w14:textId="77777777" w:rsidR="00F778E5" w:rsidRPr="00F778E5" w:rsidRDefault="00F778E5" w:rsidP="00F778E5">
      <w:pPr>
        <w:numPr>
          <w:ilvl w:val="0"/>
          <w:numId w:val="8"/>
        </w:numPr>
        <w:spacing w:after="360" w:line="256" w:lineRule="auto"/>
        <w:ind w:left="1418" w:hanging="567"/>
        <w:jc w:val="both"/>
        <w:rPr>
          <w:szCs w:val="24"/>
        </w:rPr>
      </w:pPr>
      <w:r w:rsidRPr="00F778E5">
        <w:rPr>
          <w:szCs w:val="24"/>
        </w:rPr>
        <w:t>(e) To assist in urban regeneration, by encouraging the use of derelict and other urban land</w:t>
      </w:r>
    </w:p>
    <w:p w14:paraId="51CB54A7" w14:textId="77777777" w:rsidR="00F778E5" w:rsidRPr="00F778E5" w:rsidRDefault="00F778E5" w:rsidP="00F778E5">
      <w:pPr>
        <w:numPr>
          <w:ilvl w:val="2"/>
          <w:numId w:val="8"/>
        </w:numPr>
        <w:spacing w:after="360" w:line="256" w:lineRule="auto"/>
        <w:ind w:left="1418" w:hanging="142"/>
        <w:jc w:val="both"/>
        <w:rPr>
          <w:szCs w:val="24"/>
        </w:rPr>
      </w:pPr>
      <w:r w:rsidRPr="00F778E5">
        <w:rPr>
          <w:szCs w:val="24"/>
        </w:rPr>
        <w:t xml:space="preserve">Mr Williams proffered that green belt has an important function in recycling derelict and other urban land, by restricting the availability of greenfield sites.  He noted that in 2011, the Stockport Core Strategy anticipated that there would not be sufficient previously developed land to meet needs later in the plan period (2018-2023), and this was based on an annual requirement of only 450 units. Despite the intention to satisfy 90% of the requirement on previously developed land, by the time of the Valuation Date this reliance on brownfield sites had contributed only 246 dwellings in the 5 years leading up to the 2013/14 Annual Monitoring Report.  He said that ‘notwithstanding this evidence that Stockport lacks sufficient brownfield land to meet its development needs, I consider that this purpose would apply equally to any site adjoining the urban area’. </w:t>
      </w:r>
    </w:p>
    <w:p w14:paraId="007B6257" w14:textId="148625F1" w:rsidR="00F778E5" w:rsidRDefault="00F778E5" w:rsidP="00F778E5">
      <w:pPr>
        <w:spacing w:before="120" w:after="360"/>
        <w:ind w:left="1440"/>
        <w:jc w:val="both"/>
        <w:rPr>
          <w:szCs w:val="24"/>
        </w:rPr>
      </w:pPr>
      <w:r w:rsidRPr="00F778E5">
        <w:rPr>
          <w:szCs w:val="24"/>
        </w:rPr>
        <w:t>Mr Bolton agrees with the 2016 GMSF assessment that “it is difficult to distinguish the extent to which each green belt parcel delivers against Purpose 5”, but comments that it should be acknowledged that the green belt plays a key role in recycling derelict and other urban land.</w:t>
      </w:r>
    </w:p>
    <w:p w14:paraId="5325E022" w14:textId="75600FC5" w:rsidR="00533997" w:rsidRPr="00533997" w:rsidRDefault="00C843DB" w:rsidP="00B2543B">
      <w:pPr>
        <w:spacing w:before="120" w:after="360"/>
        <w:ind w:left="567" w:hanging="567"/>
        <w:jc w:val="both"/>
        <w:rPr>
          <w:szCs w:val="24"/>
        </w:rPr>
      </w:pPr>
      <w:r>
        <w:rPr>
          <w:szCs w:val="24"/>
        </w:rPr>
        <w:t xml:space="preserve">47. </w:t>
      </w:r>
      <w:r>
        <w:rPr>
          <w:szCs w:val="24"/>
        </w:rPr>
        <w:tab/>
      </w:r>
      <w:r w:rsidR="00533997" w:rsidRPr="00533997">
        <w:rPr>
          <w:szCs w:val="24"/>
        </w:rPr>
        <w:t xml:space="preserve">Mr Williams concluded that at the valuation date there was a realistic possibility that the site could have been allocated for residential development in a forthcoming review of the development plan.  </w:t>
      </w:r>
    </w:p>
    <w:p w14:paraId="6F1459D5" w14:textId="75E87023" w:rsidR="00533997" w:rsidRPr="00533997" w:rsidRDefault="00533997" w:rsidP="00B2543B">
      <w:pPr>
        <w:spacing w:before="120" w:after="360"/>
        <w:ind w:left="567" w:hanging="567"/>
        <w:jc w:val="both"/>
        <w:rPr>
          <w:szCs w:val="24"/>
        </w:rPr>
      </w:pPr>
      <w:r w:rsidRPr="00533997">
        <w:rPr>
          <w:szCs w:val="24"/>
        </w:rPr>
        <w:t>4</w:t>
      </w:r>
      <w:r w:rsidR="00C843DB">
        <w:rPr>
          <w:szCs w:val="24"/>
        </w:rPr>
        <w:t>8</w:t>
      </w:r>
      <w:r w:rsidRPr="00533997">
        <w:rPr>
          <w:szCs w:val="24"/>
        </w:rPr>
        <w:t xml:space="preserve">. </w:t>
      </w:r>
      <w:r w:rsidRPr="00533997">
        <w:rPr>
          <w:szCs w:val="24"/>
        </w:rPr>
        <w:tab/>
      </w:r>
      <w:r w:rsidR="00A63585">
        <w:rPr>
          <w:szCs w:val="24"/>
        </w:rPr>
        <w:t>He sa</w:t>
      </w:r>
      <w:r w:rsidR="00AE625C">
        <w:rPr>
          <w:szCs w:val="24"/>
        </w:rPr>
        <w:t>id</w:t>
      </w:r>
      <w:r w:rsidR="00A63585">
        <w:rPr>
          <w:szCs w:val="24"/>
        </w:rPr>
        <w:t xml:space="preserve"> that w</w:t>
      </w:r>
      <w:r w:rsidRPr="00533997">
        <w:rPr>
          <w:szCs w:val="24"/>
        </w:rPr>
        <w:t>ithin the context of the NPPF, shortfalls in housing provision have been taken as sufficient justification to review green belt boundaries, as was the case in Cheshire East.   He d</w:t>
      </w:r>
      <w:r w:rsidR="007C785E">
        <w:rPr>
          <w:szCs w:val="24"/>
        </w:rPr>
        <w:t>id</w:t>
      </w:r>
      <w:r w:rsidRPr="00533997">
        <w:rPr>
          <w:szCs w:val="24"/>
        </w:rPr>
        <w:t xml:space="preserve"> not consider that the site makes a significant contribution to the purposes of the Green Belt and even sites that do make such a contribution have been allocated for development.  It would be credible in his opinion for a Development Plan review to allocate modestly sized sites on the periphery of the urban area as an alternative to or in combination with larger strategic allocations, thereby achieving earlier delivery as it would not require land assembly or infrastructure.</w:t>
      </w:r>
    </w:p>
    <w:p w14:paraId="42E23121" w14:textId="0B08005D" w:rsidR="00712B2A" w:rsidRPr="00712B2A" w:rsidRDefault="00A63585" w:rsidP="00A63585">
      <w:pPr>
        <w:spacing w:before="120" w:after="360"/>
        <w:ind w:left="567" w:hanging="567"/>
        <w:jc w:val="both"/>
        <w:rPr>
          <w:szCs w:val="24"/>
        </w:rPr>
      </w:pPr>
      <w:r>
        <w:rPr>
          <w:szCs w:val="24"/>
        </w:rPr>
        <w:t xml:space="preserve">49. </w:t>
      </w:r>
      <w:r>
        <w:rPr>
          <w:szCs w:val="24"/>
        </w:rPr>
        <w:tab/>
      </w:r>
      <w:r w:rsidR="00712B2A">
        <w:rPr>
          <w:szCs w:val="24"/>
        </w:rPr>
        <w:t xml:space="preserve">Mr Bolton’s </w:t>
      </w:r>
      <w:r w:rsidR="00712B2A" w:rsidRPr="00712B2A">
        <w:rPr>
          <w:szCs w:val="24"/>
        </w:rPr>
        <w:t xml:space="preserve">conclusion was that in a no-scheme world, parcel SP68 would perform well against the purposes of the green belt as outlined within the NPPF. Furthermore, as prescribed by policy CS4, the role the parcel performs as part of the green belt would have been a key consideration by the Local Planning Authority when identifying sites for removal from the green belt for prospective development.  </w:t>
      </w:r>
    </w:p>
    <w:p w14:paraId="7A83A590" w14:textId="6A5DA175" w:rsidR="00712B2A" w:rsidRDefault="00712B2A" w:rsidP="00F424B3">
      <w:pPr>
        <w:spacing w:before="120" w:after="360"/>
        <w:ind w:left="567" w:hanging="567"/>
        <w:jc w:val="both"/>
        <w:rPr>
          <w:szCs w:val="24"/>
        </w:rPr>
      </w:pPr>
      <w:r w:rsidRPr="00712B2A">
        <w:rPr>
          <w:szCs w:val="24"/>
        </w:rPr>
        <w:t>5</w:t>
      </w:r>
      <w:r w:rsidR="000F209B">
        <w:rPr>
          <w:szCs w:val="24"/>
        </w:rPr>
        <w:t>0</w:t>
      </w:r>
      <w:r w:rsidRPr="00712B2A">
        <w:rPr>
          <w:szCs w:val="24"/>
        </w:rPr>
        <w:t>.</w:t>
      </w:r>
      <w:r w:rsidRPr="00712B2A">
        <w:rPr>
          <w:szCs w:val="24"/>
        </w:rPr>
        <w:tab/>
        <w:t xml:space="preserve">He acknowledged that the GMSF Assessment found that parcel SP68 made a moderate contribution to the purposes of the green belt; but this was in the context of the A6 MARR and, he concluded that in a no scheme world the parcel would make a strong contribution.  </w:t>
      </w:r>
      <w:r w:rsidR="00045332">
        <w:rPr>
          <w:szCs w:val="24"/>
        </w:rPr>
        <w:lastRenderedPageBreak/>
        <w:t>He concluded that</w:t>
      </w:r>
      <w:r w:rsidR="002B0F20">
        <w:rPr>
          <w:szCs w:val="24"/>
        </w:rPr>
        <w:t xml:space="preserve"> </w:t>
      </w:r>
      <w:r w:rsidR="00F5123A">
        <w:rPr>
          <w:szCs w:val="24"/>
        </w:rPr>
        <w:t xml:space="preserve">there </w:t>
      </w:r>
      <w:r w:rsidR="00DF1C6A">
        <w:rPr>
          <w:szCs w:val="24"/>
        </w:rPr>
        <w:t>was</w:t>
      </w:r>
      <w:r w:rsidR="00F5123A">
        <w:rPr>
          <w:szCs w:val="24"/>
        </w:rPr>
        <w:t xml:space="preserve"> no </w:t>
      </w:r>
      <w:r w:rsidR="00C24135">
        <w:rPr>
          <w:szCs w:val="24"/>
        </w:rPr>
        <w:t xml:space="preserve">potential </w:t>
      </w:r>
      <w:r w:rsidR="00EF3941">
        <w:rPr>
          <w:szCs w:val="24"/>
        </w:rPr>
        <w:t>for development</w:t>
      </w:r>
      <w:r w:rsidR="00C24135">
        <w:rPr>
          <w:szCs w:val="24"/>
        </w:rPr>
        <w:t xml:space="preserve"> </w:t>
      </w:r>
      <w:r w:rsidR="001E38CB">
        <w:rPr>
          <w:szCs w:val="24"/>
        </w:rPr>
        <w:t xml:space="preserve">of the grazing land </w:t>
      </w:r>
      <w:r w:rsidR="00C24135">
        <w:rPr>
          <w:szCs w:val="24"/>
        </w:rPr>
        <w:t xml:space="preserve">prior to 2023 and </w:t>
      </w:r>
      <w:r w:rsidR="00194B9F">
        <w:rPr>
          <w:szCs w:val="24"/>
        </w:rPr>
        <w:t xml:space="preserve">in his opinion </w:t>
      </w:r>
      <w:r w:rsidR="001E38CB">
        <w:rPr>
          <w:szCs w:val="24"/>
        </w:rPr>
        <w:t xml:space="preserve">no prospect of it being </w:t>
      </w:r>
      <w:r w:rsidR="00F424B3">
        <w:rPr>
          <w:szCs w:val="24"/>
        </w:rPr>
        <w:t>released for development thereafter.</w:t>
      </w:r>
    </w:p>
    <w:p w14:paraId="75DBEE42" w14:textId="6B8EFF51" w:rsidR="000113A1" w:rsidRDefault="00EC60E4" w:rsidP="00242BA2">
      <w:pPr>
        <w:pStyle w:val="Normal2"/>
        <w:spacing w:after="360"/>
        <w:jc w:val="left"/>
        <w:rPr>
          <w:i/>
          <w:iCs/>
          <w:szCs w:val="24"/>
        </w:rPr>
      </w:pPr>
      <w:r>
        <w:rPr>
          <w:i/>
          <w:iCs/>
          <w:szCs w:val="24"/>
        </w:rPr>
        <w:t>D</w:t>
      </w:r>
      <w:r w:rsidR="000113A1" w:rsidRPr="00EB3801">
        <w:rPr>
          <w:i/>
          <w:iCs/>
          <w:szCs w:val="24"/>
        </w:rPr>
        <w:t xml:space="preserve">iscussion </w:t>
      </w:r>
      <w:r w:rsidR="00622D22" w:rsidRPr="00EB3801">
        <w:rPr>
          <w:i/>
          <w:iCs/>
          <w:szCs w:val="24"/>
        </w:rPr>
        <w:t>–</w:t>
      </w:r>
      <w:r w:rsidR="000113A1" w:rsidRPr="00EB3801">
        <w:rPr>
          <w:i/>
          <w:iCs/>
          <w:szCs w:val="24"/>
        </w:rPr>
        <w:t xml:space="preserve"> Planning</w:t>
      </w:r>
    </w:p>
    <w:p w14:paraId="67328F37" w14:textId="48419376" w:rsidR="003A11C8" w:rsidRPr="003A11C8" w:rsidRDefault="00647354" w:rsidP="00415901">
      <w:pPr>
        <w:spacing w:after="360" w:line="259" w:lineRule="auto"/>
        <w:ind w:left="720" w:hanging="720"/>
        <w:jc w:val="both"/>
        <w:rPr>
          <w:rFonts w:eastAsia="Calibri"/>
          <w:spacing w:val="0"/>
          <w:szCs w:val="24"/>
        </w:rPr>
      </w:pPr>
      <w:r>
        <w:rPr>
          <w:rFonts w:eastAsia="Calibri"/>
          <w:spacing w:val="0"/>
          <w:szCs w:val="24"/>
        </w:rPr>
        <w:t>5</w:t>
      </w:r>
      <w:r w:rsidR="000F209B">
        <w:rPr>
          <w:rFonts w:eastAsia="Calibri"/>
          <w:spacing w:val="0"/>
          <w:szCs w:val="24"/>
        </w:rPr>
        <w:t>1</w:t>
      </w:r>
      <w:r w:rsidR="00415901">
        <w:rPr>
          <w:rFonts w:eastAsia="Calibri"/>
          <w:spacing w:val="0"/>
          <w:szCs w:val="24"/>
        </w:rPr>
        <w:t xml:space="preserve">. </w:t>
      </w:r>
      <w:r w:rsidR="00415901">
        <w:rPr>
          <w:rFonts w:eastAsia="Calibri"/>
          <w:spacing w:val="0"/>
          <w:szCs w:val="24"/>
        </w:rPr>
        <w:tab/>
      </w:r>
      <w:r w:rsidR="005D7ECE">
        <w:rPr>
          <w:rFonts w:eastAsia="Calibri"/>
          <w:spacing w:val="0"/>
          <w:szCs w:val="24"/>
        </w:rPr>
        <w:t xml:space="preserve">I now return to the </w:t>
      </w:r>
      <w:r w:rsidR="00F84B08">
        <w:rPr>
          <w:rFonts w:eastAsia="Calibri"/>
          <w:spacing w:val="0"/>
          <w:szCs w:val="24"/>
        </w:rPr>
        <w:t>question I posed at paragraph</w:t>
      </w:r>
      <w:r w:rsidR="008D463E">
        <w:rPr>
          <w:rFonts w:eastAsia="Calibri"/>
          <w:spacing w:val="0"/>
          <w:szCs w:val="24"/>
        </w:rPr>
        <w:t xml:space="preserve"> </w:t>
      </w:r>
      <w:r w:rsidR="00392AA4">
        <w:rPr>
          <w:rFonts w:eastAsia="Calibri"/>
          <w:spacing w:val="0"/>
          <w:szCs w:val="24"/>
        </w:rPr>
        <w:t>18</w:t>
      </w:r>
      <w:r w:rsidR="008D463E">
        <w:rPr>
          <w:rFonts w:eastAsia="Calibri"/>
          <w:spacing w:val="0"/>
          <w:szCs w:val="24"/>
        </w:rPr>
        <w:t>, namely</w:t>
      </w:r>
      <w:r w:rsidR="009A1FF7">
        <w:rPr>
          <w:rFonts w:eastAsia="Calibri"/>
          <w:spacing w:val="0"/>
          <w:szCs w:val="24"/>
        </w:rPr>
        <w:t>: in a no scheme context</w:t>
      </w:r>
      <w:r w:rsidR="00C86BC9">
        <w:rPr>
          <w:rFonts w:eastAsia="Calibri"/>
          <w:spacing w:val="0"/>
          <w:szCs w:val="24"/>
        </w:rPr>
        <w:t xml:space="preserve">, </w:t>
      </w:r>
      <w:r w:rsidR="00C86BC9" w:rsidRPr="00C86BC9">
        <w:rPr>
          <w:rFonts w:eastAsia="Calibri"/>
          <w:spacing w:val="0"/>
          <w:szCs w:val="24"/>
        </w:rPr>
        <w:t>what prospect was there on the valuation date that the grazing land would be earmarked in the future for development, and if so, within what time?</w:t>
      </w:r>
      <w:r w:rsidR="00C86BC9">
        <w:rPr>
          <w:rFonts w:eastAsia="Calibri"/>
          <w:spacing w:val="0"/>
          <w:szCs w:val="24"/>
        </w:rPr>
        <w:t xml:space="preserve"> </w:t>
      </w:r>
      <w:r w:rsidR="003A11C8" w:rsidRPr="003A11C8">
        <w:rPr>
          <w:rFonts w:eastAsia="Calibri"/>
          <w:spacing w:val="0"/>
          <w:szCs w:val="24"/>
        </w:rPr>
        <w:t xml:space="preserve"> Both experts have undertaken their own assessments and have come to different conclusions.  </w:t>
      </w:r>
      <w:r w:rsidR="00BC29DD">
        <w:rPr>
          <w:rFonts w:eastAsia="Calibri"/>
          <w:spacing w:val="0"/>
          <w:szCs w:val="24"/>
        </w:rPr>
        <w:t>But what they have overlooked is that the choice of sites to be released from the green belt involves comparisons.  By</w:t>
      </w:r>
      <w:r w:rsidR="003A11C8" w:rsidRPr="003A11C8">
        <w:rPr>
          <w:rFonts w:eastAsia="Calibri"/>
          <w:spacing w:val="0"/>
          <w:szCs w:val="24"/>
        </w:rPr>
        <w:t xml:space="preserve"> focussing </w:t>
      </w:r>
      <w:r w:rsidR="00892E8E">
        <w:rPr>
          <w:rFonts w:eastAsia="Calibri"/>
          <w:spacing w:val="0"/>
          <w:szCs w:val="24"/>
        </w:rPr>
        <w:t xml:space="preserve">only </w:t>
      </w:r>
      <w:r w:rsidR="003A11C8" w:rsidRPr="003A11C8">
        <w:rPr>
          <w:rFonts w:eastAsia="Calibri"/>
          <w:spacing w:val="0"/>
          <w:szCs w:val="24"/>
        </w:rPr>
        <w:t>on the</w:t>
      </w:r>
      <w:r w:rsidR="00D670F5">
        <w:rPr>
          <w:rFonts w:eastAsia="Calibri"/>
          <w:spacing w:val="0"/>
          <w:szCs w:val="24"/>
        </w:rPr>
        <w:t xml:space="preserve"> contribution which the</w:t>
      </w:r>
      <w:r w:rsidR="003A11C8" w:rsidRPr="003A11C8">
        <w:rPr>
          <w:rFonts w:eastAsia="Calibri"/>
          <w:spacing w:val="0"/>
          <w:szCs w:val="24"/>
        </w:rPr>
        <w:t xml:space="preserve"> grazing land </w:t>
      </w:r>
      <w:r w:rsidR="00D670F5">
        <w:rPr>
          <w:rFonts w:eastAsia="Calibri"/>
          <w:spacing w:val="0"/>
          <w:szCs w:val="24"/>
        </w:rPr>
        <w:t xml:space="preserve">makes to the green belt </w:t>
      </w:r>
      <w:r w:rsidR="003A11C8" w:rsidRPr="003A11C8">
        <w:rPr>
          <w:rFonts w:eastAsia="Calibri"/>
          <w:spacing w:val="0"/>
          <w:szCs w:val="24"/>
        </w:rPr>
        <w:t xml:space="preserve">they have failed to consider where in the hierarchy of </w:t>
      </w:r>
      <w:r w:rsidR="003D0E09">
        <w:rPr>
          <w:rFonts w:eastAsia="Calibri"/>
          <w:spacing w:val="0"/>
          <w:szCs w:val="24"/>
        </w:rPr>
        <w:t>g</w:t>
      </w:r>
      <w:r w:rsidR="003A11C8" w:rsidRPr="003A11C8">
        <w:rPr>
          <w:rFonts w:eastAsia="Calibri"/>
          <w:spacing w:val="0"/>
          <w:szCs w:val="24"/>
        </w:rPr>
        <w:t>reen</w:t>
      </w:r>
      <w:r w:rsidR="003A11C8">
        <w:rPr>
          <w:rFonts w:eastAsia="Calibri"/>
          <w:spacing w:val="0"/>
          <w:szCs w:val="24"/>
        </w:rPr>
        <w:t xml:space="preserve"> </w:t>
      </w:r>
      <w:r w:rsidR="003D0E09">
        <w:rPr>
          <w:rFonts w:eastAsia="Calibri"/>
          <w:spacing w:val="0"/>
          <w:szCs w:val="24"/>
        </w:rPr>
        <w:t>b</w:t>
      </w:r>
      <w:r w:rsidR="003A11C8" w:rsidRPr="003A11C8">
        <w:rPr>
          <w:rFonts w:eastAsia="Calibri"/>
          <w:spacing w:val="0"/>
          <w:szCs w:val="24"/>
        </w:rPr>
        <w:t>elt sites it sits</w:t>
      </w:r>
      <w:r w:rsidR="00D670F5">
        <w:rPr>
          <w:rFonts w:eastAsia="Calibri"/>
          <w:spacing w:val="0"/>
          <w:szCs w:val="24"/>
        </w:rPr>
        <w:t xml:space="preserve"> and how likely it is to be selected for development</w:t>
      </w:r>
      <w:r w:rsidR="003A11C8" w:rsidRPr="003A11C8">
        <w:rPr>
          <w:rFonts w:eastAsia="Calibri"/>
          <w:spacing w:val="0"/>
          <w:szCs w:val="24"/>
        </w:rPr>
        <w:t xml:space="preserve">.  It may well be the case that the land is the </w:t>
      </w:r>
      <w:r w:rsidR="00EB3801">
        <w:rPr>
          <w:rFonts w:eastAsia="Calibri"/>
          <w:spacing w:val="0"/>
          <w:szCs w:val="24"/>
        </w:rPr>
        <w:t>best of the worst</w:t>
      </w:r>
      <w:r w:rsidR="003A11C8" w:rsidRPr="003A11C8">
        <w:rPr>
          <w:rFonts w:eastAsia="Calibri"/>
          <w:spacing w:val="0"/>
          <w:szCs w:val="24"/>
        </w:rPr>
        <w:t xml:space="preserve"> from the p</w:t>
      </w:r>
      <w:r w:rsidR="00BC29DD">
        <w:rPr>
          <w:rFonts w:eastAsia="Calibri"/>
          <w:spacing w:val="0"/>
          <w:szCs w:val="24"/>
        </w:rPr>
        <w:t>e</w:t>
      </w:r>
      <w:r w:rsidR="003A11C8" w:rsidRPr="003A11C8">
        <w:rPr>
          <w:rFonts w:eastAsia="Calibri"/>
          <w:spacing w:val="0"/>
          <w:szCs w:val="24"/>
        </w:rPr>
        <w:t xml:space="preserve">rspective of the </w:t>
      </w:r>
      <w:r w:rsidR="00EB3801">
        <w:rPr>
          <w:rFonts w:eastAsia="Calibri"/>
          <w:spacing w:val="0"/>
          <w:szCs w:val="24"/>
        </w:rPr>
        <w:t>C</w:t>
      </w:r>
      <w:r w:rsidR="003A11C8" w:rsidRPr="003A11C8">
        <w:rPr>
          <w:rFonts w:eastAsia="Calibri"/>
          <w:spacing w:val="0"/>
          <w:szCs w:val="24"/>
        </w:rPr>
        <w:t xml:space="preserve">ouncil or </w:t>
      </w:r>
      <w:r w:rsidR="00D670F5">
        <w:rPr>
          <w:rFonts w:eastAsia="Calibri"/>
          <w:spacing w:val="0"/>
          <w:szCs w:val="24"/>
        </w:rPr>
        <w:t xml:space="preserve">it may be </w:t>
      </w:r>
      <w:r w:rsidR="003A11C8" w:rsidRPr="003A11C8">
        <w:rPr>
          <w:rFonts w:eastAsia="Calibri"/>
          <w:spacing w:val="0"/>
          <w:szCs w:val="24"/>
        </w:rPr>
        <w:t xml:space="preserve">that there are other sites which </w:t>
      </w:r>
      <w:r w:rsidR="00D670F5">
        <w:rPr>
          <w:rFonts w:eastAsia="Calibri"/>
          <w:spacing w:val="0"/>
          <w:szCs w:val="24"/>
        </w:rPr>
        <w:t>make less of a contribution to</w:t>
      </w:r>
      <w:r w:rsidR="003A11C8" w:rsidRPr="003A11C8">
        <w:rPr>
          <w:rFonts w:eastAsia="Calibri"/>
          <w:spacing w:val="0"/>
          <w:szCs w:val="24"/>
        </w:rPr>
        <w:t xml:space="preserve"> </w:t>
      </w:r>
      <w:r w:rsidR="003D0E09">
        <w:rPr>
          <w:rFonts w:eastAsia="Calibri"/>
          <w:spacing w:val="0"/>
          <w:szCs w:val="24"/>
        </w:rPr>
        <w:t>g</w:t>
      </w:r>
      <w:r w:rsidR="003A11C8" w:rsidRPr="003A11C8">
        <w:rPr>
          <w:rFonts w:eastAsia="Calibri"/>
          <w:spacing w:val="0"/>
          <w:szCs w:val="24"/>
        </w:rPr>
        <w:t>reen</w:t>
      </w:r>
      <w:r w:rsidR="00EB3801">
        <w:rPr>
          <w:rFonts w:eastAsia="Calibri"/>
          <w:spacing w:val="0"/>
          <w:szCs w:val="24"/>
        </w:rPr>
        <w:t xml:space="preserve"> </w:t>
      </w:r>
      <w:r w:rsidR="003D0E09">
        <w:rPr>
          <w:rFonts w:eastAsia="Calibri"/>
          <w:spacing w:val="0"/>
          <w:szCs w:val="24"/>
        </w:rPr>
        <w:t>b</w:t>
      </w:r>
      <w:r w:rsidR="003A11C8" w:rsidRPr="003A11C8">
        <w:rPr>
          <w:rFonts w:eastAsia="Calibri"/>
          <w:spacing w:val="0"/>
          <w:szCs w:val="24"/>
        </w:rPr>
        <w:t>elt purposes</w:t>
      </w:r>
      <w:r w:rsidR="00D670F5">
        <w:rPr>
          <w:rFonts w:eastAsia="Calibri"/>
          <w:spacing w:val="0"/>
          <w:szCs w:val="24"/>
        </w:rPr>
        <w:t xml:space="preserve"> and which would be likely to be selected for development in preference to it</w:t>
      </w:r>
      <w:r w:rsidR="003A11C8" w:rsidRPr="003A11C8">
        <w:rPr>
          <w:rFonts w:eastAsia="Calibri"/>
          <w:spacing w:val="0"/>
          <w:szCs w:val="24"/>
        </w:rPr>
        <w:t>.</w:t>
      </w:r>
    </w:p>
    <w:p w14:paraId="19AD0D98" w14:textId="30A6B576" w:rsidR="003A11C8" w:rsidRPr="003A11C8" w:rsidRDefault="00647354" w:rsidP="00415901">
      <w:pPr>
        <w:spacing w:after="360" w:line="259" w:lineRule="auto"/>
        <w:ind w:left="720" w:hanging="720"/>
        <w:jc w:val="both"/>
        <w:rPr>
          <w:rFonts w:eastAsia="Calibri"/>
          <w:spacing w:val="0"/>
          <w:szCs w:val="24"/>
        </w:rPr>
      </w:pPr>
      <w:r>
        <w:rPr>
          <w:rFonts w:eastAsia="Calibri"/>
          <w:spacing w:val="0"/>
          <w:szCs w:val="24"/>
        </w:rPr>
        <w:t>5</w:t>
      </w:r>
      <w:r w:rsidR="000F209B">
        <w:rPr>
          <w:rFonts w:eastAsia="Calibri"/>
          <w:spacing w:val="0"/>
          <w:szCs w:val="24"/>
        </w:rPr>
        <w:t>2</w:t>
      </w:r>
      <w:r w:rsidR="00415901">
        <w:rPr>
          <w:rFonts w:eastAsia="Calibri"/>
          <w:spacing w:val="0"/>
          <w:szCs w:val="24"/>
        </w:rPr>
        <w:t>.</w:t>
      </w:r>
      <w:r w:rsidR="00415901">
        <w:rPr>
          <w:rFonts w:eastAsia="Calibri"/>
          <w:spacing w:val="0"/>
          <w:szCs w:val="24"/>
        </w:rPr>
        <w:tab/>
      </w:r>
      <w:r w:rsidR="003A11C8" w:rsidRPr="003A11C8">
        <w:rPr>
          <w:rFonts w:eastAsia="Calibri"/>
          <w:spacing w:val="0"/>
          <w:szCs w:val="24"/>
        </w:rPr>
        <w:t>The GMSF assessments are of limited use since they take account of the A6-MARR</w:t>
      </w:r>
      <w:r w:rsidR="00D670F5">
        <w:rPr>
          <w:rFonts w:eastAsia="Calibri"/>
          <w:spacing w:val="0"/>
          <w:szCs w:val="24"/>
        </w:rPr>
        <w:t xml:space="preserve"> in the scheme world</w:t>
      </w:r>
      <w:r w:rsidR="003A11C8" w:rsidRPr="003A11C8">
        <w:rPr>
          <w:rFonts w:eastAsia="Calibri"/>
          <w:spacing w:val="0"/>
          <w:szCs w:val="24"/>
        </w:rPr>
        <w:t xml:space="preserve"> </w:t>
      </w:r>
      <w:r w:rsidR="00EB3801">
        <w:rPr>
          <w:rFonts w:eastAsia="Calibri"/>
          <w:spacing w:val="0"/>
          <w:szCs w:val="24"/>
        </w:rPr>
        <w:t>and</w:t>
      </w:r>
      <w:r w:rsidR="00D670F5">
        <w:rPr>
          <w:rFonts w:eastAsia="Calibri"/>
          <w:spacing w:val="0"/>
          <w:szCs w:val="24"/>
        </w:rPr>
        <w:t xml:space="preserve"> not </w:t>
      </w:r>
      <w:r w:rsidR="00C3231A">
        <w:rPr>
          <w:rFonts w:eastAsia="Calibri"/>
          <w:spacing w:val="0"/>
          <w:szCs w:val="24"/>
        </w:rPr>
        <w:t>of</w:t>
      </w:r>
      <w:r w:rsidR="00D670F5">
        <w:rPr>
          <w:rFonts w:eastAsia="Calibri"/>
          <w:spacing w:val="0"/>
          <w:szCs w:val="24"/>
        </w:rPr>
        <w:t xml:space="preserve"> the circumstances which must be assumed for the purpose of the valuation.  Additionally, the assessments are of the whole of </w:t>
      </w:r>
      <w:r w:rsidR="003A11C8" w:rsidRPr="003A11C8">
        <w:rPr>
          <w:rFonts w:eastAsia="Calibri"/>
          <w:spacing w:val="0"/>
          <w:szCs w:val="24"/>
        </w:rPr>
        <w:t xml:space="preserve">parcel SP68 of which the grazing land forms </w:t>
      </w:r>
      <w:r w:rsidR="00D670F5">
        <w:rPr>
          <w:rFonts w:eastAsia="Calibri"/>
          <w:spacing w:val="0"/>
          <w:szCs w:val="24"/>
        </w:rPr>
        <w:t xml:space="preserve">only </w:t>
      </w:r>
      <w:r w:rsidR="003A11C8" w:rsidRPr="003A11C8">
        <w:rPr>
          <w:rFonts w:eastAsia="Calibri"/>
          <w:spacing w:val="0"/>
          <w:szCs w:val="24"/>
        </w:rPr>
        <w:t>part</w:t>
      </w:r>
      <w:r w:rsidR="00D670F5">
        <w:rPr>
          <w:rFonts w:eastAsia="Calibri"/>
          <w:spacing w:val="0"/>
          <w:szCs w:val="24"/>
        </w:rPr>
        <w:t>; the parcel</w:t>
      </w:r>
      <w:r w:rsidR="003A11C8" w:rsidRPr="003A11C8">
        <w:rPr>
          <w:rFonts w:eastAsia="Calibri"/>
          <w:spacing w:val="0"/>
          <w:szCs w:val="24"/>
        </w:rPr>
        <w:t xml:space="preserve"> is quite extensive, taking in land on both sides of the A523 Macclesfield Road and the GMSF conclusions may not be transferrable in their entirety to the grazing land.</w:t>
      </w:r>
    </w:p>
    <w:p w14:paraId="1EEF472E" w14:textId="495C391E" w:rsidR="003A11C8" w:rsidRPr="003A11C8" w:rsidRDefault="00647354" w:rsidP="004174F3">
      <w:pPr>
        <w:spacing w:after="360" w:line="259" w:lineRule="auto"/>
        <w:ind w:left="720" w:hanging="720"/>
        <w:jc w:val="both"/>
        <w:rPr>
          <w:rFonts w:eastAsia="Calibri"/>
          <w:spacing w:val="0"/>
          <w:szCs w:val="24"/>
        </w:rPr>
      </w:pPr>
      <w:r>
        <w:rPr>
          <w:rFonts w:eastAsia="Calibri"/>
          <w:spacing w:val="0"/>
          <w:szCs w:val="24"/>
        </w:rPr>
        <w:t>5</w:t>
      </w:r>
      <w:r w:rsidR="000F209B">
        <w:rPr>
          <w:rFonts w:eastAsia="Calibri"/>
          <w:spacing w:val="0"/>
          <w:szCs w:val="24"/>
        </w:rPr>
        <w:t>3</w:t>
      </w:r>
      <w:r w:rsidR="004174F3">
        <w:rPr>
          <w:rFonts w:eastAsia="Calibri"/>
          <w:spacing w:val="0"/>
          <w:szCs w:val="24"/>
        </w:rPr>
        <w:t>.</w:t>
      </w:r>
      <w:r w:rsidR="004174F3">
        <w:rPr>
          <w:rFonts w:eastAsia="Calibri"/>
          <w:spacing w:val="0"/>
          <w:szCs w:val="24"/>
        </w:rPr>
        <w:tab/>
      </w:r>
      <w:r w:rsidR="003A11C8" w:rsidRPr="003A11C8">
        <w:rPr>
          <w:rFonts w:eastAsia="Calibri"/>
          <w:spacing w:val="0"/>
          <w:szCs w:val="24"/>
        </w:rPr>
        <w:t xml:space="preserve">I am mindful </w:t>
      </w:r>
      <w:r w:rsidR="002F1B77">
        <w:rPr>
          <w:rFonts w:eastAsia="Calibri"/>
          <w:spacing w:val="0"/>
          <w:szCs w:val="24"/>
        </w:rPr>
        <w:t xml:space="preserve">that </w:t>
      </w:r>
      <w:r w:rsidR="00CE1EC8">
        <w:rPr>
          <w:rFonts w:eastAsia="Calibri"/>
          <w:spacing w:val="0"/>
          <w:szCs w:val="24"/>
        </w:rPr>
        <w:t xml:space="preserve">at the </w:t>
      </w:r>
      <w:r w:rsidR="00142A47">
        <w:rPr>
          <w:rFonts w:eastAsia="Calibri"/>
          <w:spacing w:val="0"/>
          <w:szCs w:val="24"/>
        </w:rPr>
        <w:t>v</w:t>
      </w:r>
      <w:r w:rsidR="00CE1EC8">
        <w:rPr>
          <w:rFonts w:eastAsia="Calibri"/>
          <w:spacing w:val="0"/>
          <w:szCs w:val="24"/>
        </w:rPr>
        <w:t xml:space="preserve">aluation </w:t>
      </w:r>
      <w:r w:rsidR="00142A47">
        <w:rPr>
          <w:rFonts w:eastAsia="Calibri"/>
          <w:spacing w:val="0"/>
          <w:szCs w:val="24"/>
        </w:rPr>
        <w:t>d</w:t>
      </w:r>
      <w:r w:rsidR="00CE1EC8">
        <w:rPr>
          <w:rFonts w:eastAsia="Calibri"/>
          <w:spacing w:val="0"/>
          <w:szCs w:val="24"/>
        </w:rPr>
        <w:t>ate the GMSF</w:t>
      </w:r>
      <w:r w:rsidR="003A11C8" w:rsidRPr="003A11C8">
        <w:rPr>
          <w:rFonts w:eastAsia="Calibri"/>
          <w:spacing w:val="0"/>
          <w:szCs w:val="24"/>
        </w:rPr>
        <w:t xml:space="preserve"> had been initiated and a prospective purchaser would have been aware of its purpose and timeline.  </w:t>
      </w:r>
      <w:r w:rsidR="00D670F5">
        <w:rPr>
          <w:rFonts w:eastAsia="Calibri"/>
          <w:spacing w:val="0"/>
          <w:szCs w:val="24"/>
        </w:rPr>
        <w:t xml:space="preserve">At that </w:t>
      </w:r>
      <w:r w:rsidR="00485B25">
        <w:rPr>
          <w:rFonts w:eastAsia="Calibri"/>
          <w:spacing w:val="0"/>
          <w:szCs w:val="24"/>
        </w:rPr>
        <w:t>time,</w:t>
      </w:r>
      <w:r w:rsidR="00D670F5">
        <w:rPr>
          <w:rFonts w:eastAsia="Calibri"/>
          <w:spacing w:val="0"/>
          <w:szCs w:val="24"/>
        </w:rPr>
        <w:t xml:space="preserve"> i</w:t>
      </w:r>
      <w:r w:rsidR="003A11C8" w:rsidRPr="003A11C8">
        <w:rPr>
          <w:rFonts w:eastAsia="Calibri"/>
          <w:spacing w:val="0"/>
          <w:szCs w:val="24"/>
        </w:rPr>
        <w:t xml:space="preserve">t </w:t>
      </w:r>
      <w:r w:rsidR="00D670F5">
        <w:rPr>
          <w:rFonts w:eastAsia="Calibri"/>
          <w:spacing w:val="0"/>
          <w:szCs w:val="24"/>
        </w:rPr>
        <w:t>w</w:t>
      </w:r>
      <w:r w:rsidR="003A11C8" w:rsidRPr="003A11C8">
        <w:rPr>
          <w:rFonts w:eastAsia="Calibri"/>
          <w:spacing w:val="0"/>
          <w:szCs w:val="24"/>
        </w:rPr>
        <w:t>ould have been reasonabl</w:t>
      </w:r>
      <w:r w:rsidR="00D670F5">
        <w:rPr>
          <w:rFonts w:eastAsia="Calibri"/>
          <w:spacing w:val="0"/>
          <w:szCs w:val="24"/>
        </w:rPr>
        <w:t>e to</w:t>
      </w:r>
      <w:r w:rsidR="003A11C8" w:rsidRPr="003A11C8">
        <w:rPr>
          <w:rFonts w:eastAsia="Calibri"/>
          <w:spacing w:val="0"/>
          <w:szCs w:val="24"/>
        </w:rPr>
        <w:t xml:space="preserve"> expect that t</w:t>
      </w:r>
      <w:r w:rsidR="00D670F5">
        <w:rPr>
          <w:rFonts w:eastAsia="Calibri"/>
          <w:spacing w:val="0"/>
          <w:szCs w:val="24"/>
        </w:rPr>
        <w:t>he assessment exercise</w:t>
      </w:r>
      <w:r w:rsidR="003A11C8" w:rsidRPr="003A11C8">
        <w:rPr>
          <w:rFonts w:eastAsia="Calibri"/>
          <w:spacing w:val="0"/>
          <w:szCs w:val="24"/>
        </w:rPr>
        <w:t xml:space="preserve"> would run its course and</w:t>
      </w:r>
      <w:r w:rsidR="00D670F5">
        <w:rPr>
          <w:rFonts w:eastAsia="Calibri"/>
          <w:spacing w:val="0"/>
          <w:szCs w:val="24"/>
        </w:rPr>
        <w:t xml:space="preserve"> that</w:t>
      </w:r>
      <w:r w:rsidR="003A11C8" w:rsidRPr="003A11C8">
        <w:rPr>
          <w:rFonts w:eastAsia="Calibri"/>
          <w:spacing w:val="0"/>
          <w:szCs w:val="24"/>
        </w:rPr>
        <w:t xml:space="preserve"> site allocations would be made</w:t>
      </w:r>
      <w:r w:rsidR="001413C3">
        <w:rPr>
          <w:rFonts w:eastAsia="Calibri"/>
          <w:spacing w:val="0"/>
          <w:szCs w:val="24"/>
        </w:rPr>
        <w:t xml:space="preserve"> by the </w:t>
      </w:r>
      <w:r w:rsidR="0047370A">
        <w:rPr>
          <w:rFonts w:eastAsia="Calibri"/>
          <w:spacing w:val="0"/>
          <w:szCs w:val="24"/>
        </w:rPr>
        <w:t>beginning of the plan period which was intended to be 2020 to 20</w:t>
      </w:r>
      <w:r w:rsidR="0066499C">
        <w:rPr>
          <w:rFonts w:eastAsia="Calibri"/>
          <w:spacing w:val="0"/>
          <w:szCs w:val="24"/>
        </w:rPr>
        <w:t>37.</w:t>
      </w:r>
      <w:r w:rsidR="00D670F5">
        <w:rPr>
          <w:rFonts w:eastAsia="Calibri"/>
          <w:spacing w:val="0"/>
          <w:szCs w:val="24"/>
        </w:rPr>
        <w:t xml:space="preserve"> </w:t>
      </w:r>
      <w:r w:rsidR="0066499C">
        <w:rPr>
          <w:rFonts w:eastAsia="Calibri"/>
          <w:spacing w:val="0"/>
          <w:szCs w:val="24"/>
        </w:rPr>
        <w:t xml:space="preserve"> </w:t>
      </w:r>
      <w:r w:rsidR="003A11C8" w:rsidRPr="003A11C8">
        <w:rPr>
          <w:rFonts w:eastAsia="Calibri"/>
          <w:spacing w:val="0"/>
          <w:szCs w:val="24"/>
        </w:rPr>
        <w:t xml:space="preserve">The withdrawal of Stockport from the process </w:t>
      </w:r>
      <w:r w:rsidR="00D670F5">
        <w:rPr>
          <w:rFonts w:eastAsia="Calibri"/>
          <w:spacing w:val="0"/>
          <w:szCs w:val="24"/>
        </w:rPr>
        <w:t xml:space="preserve">in </w:t>
      </w:r>
      <w:r w:rsidR="00D670F5" w:rsidRPr="00D670F5">
        <w:rPr>
          <w:rFonts w:eastAsia="Calibri"/>
          <w:spacing w:val="0"/>
          <w:szCs w:val="24"/>
        </w:rPr>
        <w:t>late 2020</w:t>
      </w:r>
      <w:r w:rsidR="00D670F5">
        <w:rPr>
          <w:rFonts w:eastAsia="Calibri"/>
          <w:spacing w:val="0"/>
          <w:szCs w:val="24"/>
        </w:rPr>
        <w:t xml:space="preserve"> w</w:t>
      </w:r>
      <w:r w:rsidR="003A11C8" w:rsidRPr="003A11C8">
        <w:rPr>
          <w:rFonts w:eastAsia="Calibri"/>
          <w:spacing w:val="0"/>
          <w:szCs w:val="24"/>
        </w:rPr>
        <w:t>ould not have been foreseen</w:t>
      </w:r>
      <w:r w:rsidR="00246FB7">
        <w:rPr>
          <w:rFonts w:eastAsia="Calibri"/>
          <w:spacing w:val="0"/>
          <w:szCs w:val="24"/>
        </w:rPr>
        <w:t>.</w:t>
      </w:r>
      <w:r w:rsidR="003A11C8" w:rsidRPr="003A11C8">
        <w:rPr>
          <w:rFonts w:eastAsia="Calibri"/>
          <w:spacing w:val="0"/>
          <w:szCs w:val="24"/>
        </w:rPr>
        <w:t xml:space="preserve"> </w:t>
      </w:r>
    </w:p>
    <w:p w14:paraId="5C8A63B6" w14:textId="385A7079" w:rsidR="003A11C8" w:rsidRPr="003A11C8" w:rsidRDefault="00DF44B5" w:rsidP="004174F3">
      <w:pPr>
        <w:spacing w:after="360" w:line="259" w:lineRule="auto"/>
        <w:ind w:left="720" w:hanging="720"/>
        <w:jc w:val="both"/>
        <w:rPr>
          <w:rFonts w:eastAsia="Calibri"/>
          <w:spacing w:val="0"/>
          <w:szCs w:val="24"/>
        </w:rPr>
      </w:pPr>
      <w:r>
        <w:rPr>
          <w:rFonts w:eastAsia="Calibri"/>
          <w:spacing w:val="0"/>
          <w:szCs w:val="24"/>
        </w:rPr>
        <w:t>5</w:t>
      </w:r>
      <w:r w:rsidR="000F209B">
        <w:rPr>
          <w:rFonts w:eastAsia="Calibri"/>
          <w:spacing w:val="0"/>
          <w:szCs w:val="24"/>
        </w:rPr>
        <w:t>4</w:t>
      </w:r>
      <w:r w:rsidR="004174F3">
        <w:rPr>
          <w:rFonts w:eastAsia="Calibri"/>
          <w:spacing w:val="0"/>
          <w:szCs w:val="24"/>
        </w:rPr>
        <w:t>.</w:t>
      </w:r>
      <w:r w:rsidR="004174F3">
        <w:rPr>
          <w:rFonts w:eastAsia="Calibri"/>
          <w:spacing w:val="0"/>
          <w:szCs w:val="24"/>
        </w:rPr>
        <w:tab/>
      </w:r>
      <w:r w:rsidR="003A11C8" w:rsidRPr="003A11C8">
        <w:rPr>
          <w:rFonts w:eastAsia="Calibri"/>
          <w:spacing w:val="0"/>
          <w:szCs w:val="24"/>
        </w:rPr>
        <w:t xml:space="preserve">I must therefore </w:t>
      </w:r>
      <w:r w:rsidR="00D670F5">
        <w:rPr>
          <w:rFonts w:eastAsia="Calibri"/>
          <w:spacing w:val="0"/>
          <w:szCs w:val="24"/>
        </w:rPr>
        <w:t xml:space="preserve">make my own </w:t>
      </w:r>
      <w:r w:rsidR="003A11C8" w:rsidRPr="003A11C8">
        <w:rPr>
          <w:rFonts w:eastAsia="Calibri"/>
          <w:spacing w:val="0"/>
          <w:szCs w:val="24"/>
        </w:rPr>
        <w:t>assessment of the grazing land against the NPPF</w:t>
      </w:r>
      <w:r w:rsidR="00D670F5">
        <w:rPr>
          <w:rFonts w:eastAsia="Calibri"/>
          <w:spacing w:val="0"/>
          <w:szCs w:val="24"/>
        </w:rPr>
        <w:t xml:space="preserve"> green belt</w:t>
      </w:r>
      <w:r w:rsidR="003A11C8" w:rsidRPr="003A11C8">
        <w:rPr>
          <w:rFonts w:eastAsia="Calibri"/>
          <w:spacing w:val="0"/>
          <w:szCs w:val="24"/>
        </w:rPr>
        <w:t xml:space="preserve"> purposes.  </w:t>
      </w:r>
      <w:r w:rsidR="00AE4506">
        <w:rPr>
          <w:rFonts w:eastAsia="Calibri"/>
          <w:spacing w:val="0"/>
          <w:szCs w:val="24"/>
        </w:rPr>
        <w:t xml:space="preserve">Only the first two purposes are engaged, and the experts agreed that the land does not make a significant contribution to the others.  </w:t>
      </w:r>
      <w:r w:rsidR="003A11C8" w:rsidRPr="003A11C8">
        <w:rPr>
          <w:rFonts w:eastAsia="Calibri"/>
          <w:spacing w:val="0"/>
          <w:szCs w:val="24"/>
        </w:rPr>
        <w:t>It appears to me that the site does perform strongly in checking the unrestricted sp</w:t>
      </w:r>
      <w:r w:rsidR="00EB3801">
        <w:rPr>
          <w:rFonts w:eastAsia="Calibri"/>
          <w:spacing w:val="0"/>
          <w:szCs w:val="24"/>
        </w:rPr>
        <w:t>rawl</w:t>
      </w:r>
      <w:r w:rsidR="003A11C8" w:rsidRPr="003A11C8">
        <w:rPr>
          <w:rFonts w:eastAsia="Calibri"/>
          <w:spacing w:val="0"/>
          <w:szCs w:val="24"/>
        </w:rPr>
        <w:t xml:space="preserve"> of the large built-up areas and in preventing neighbouring towns merging with one and other.  The GMSF considered that SP68 was of critical importance to the separation of Hazel Grove and Poynton</w:t>
      </w:r>
      <w:r w:rsidR="00484EFC">
        <w:rPr>
          <w:rFonts w:eastAsia="Calibri"/>
          <w:spacing w:val="0"/>
          <w:szCs w:val="24"/>
        </w:rPr>
        <w:t xml:space="preserve"> and that is a reasonable conclusion to draw</w:t>
      </w:r>
      <w:r w:rsidR="003A11C8" w:rsidRPr="003A11C8">
        <w:rPr>
          <w:rFonts w:eastAsia="Calibri"/>
          <w:spacing w:val="0"/>
          <w:szCs w:val="24"/>
        </w:rPr>
        <w:t xml:space="preserve">.  </w:t>
      </w:r>
      <w:r w:rsidR="00947FDA">
        <w:rPr>
          <w:rFonts w:eastAsia="Calibri"/>
          <w:spacing w:val="0"/>
          <w:szCs w:val="24"/>
        </w:rPr>
        <w:t xml:space="preserve">In the no-scheme scenario </w:t>
      </w:r>
      <w:r w:rsidR="00B15046">
        <w:rPr>
          <w:rFonts w:eastAsia="Calibri"/>
          <w:spacing w:val="0"/>
          <w:szCs w:val="24"/>
        </w:rPr>
        <w:t>th</w:t>
      </w:r>
      <w:r w:rsidR="007934CD">
        <w:rPr>
          <w:rFonts w:eastAsia="Calibri"/>
          <w:spacing w:val="0"/>
          <w:szCs w:val="24"/>
        </w:rPr>
        <w:t>at</w:t>
      </w:r>
      <w:r w:rsidR="00B15046">
        <w:rPr>
          <w:rFonts w:eastAsia="Calibri"/>
          <w:spacing w:val="0"/>
          <w:szCs w:val="24"/>
        </w:rPr>
        <w:t xml:space="preserve"> </w:t>
      </w:r>
      <w:r w:rsidR="00460A2C">
        <w:rPr>
          <w:rFonts w:eastAsia="Calibri"/>
          <w:spacing w:val="0"/>
          <w:szCs w:val="24"/>
        </w:rPr>
        <w:t xml:space="preserve">conclusion would be </w:t>
      </w:r>
      <w:r w:rsidR="007934CD">
        <w:rPr>
          <w:rFonts w:eastAsia="Calibri"/>
          <w:spacing w:val="0"/>
          <w:szCs w:val="24"/>
        </w:rPr>
        <w:t>more robust</w:t>
      </w:r>
      <w:r w:rsidR="00460A2C">
        <w:rPr>
          <w:rFonts w:eastAsia="Calibri"/>
          <w:spacing w:val="0"/>
          <w:szCs w:val="24"/>
        </w:rPr>
        <w:t xml:space="preserve">.  </w:t>
      </w:r>
      <w:r w:rsidR="003A11C8" w:rsidRPr="003A11C8">
        <w:rPr>
          <w:rFonts w:eastAsia="Calibri"/>
          <w:spacing w:val="0"/>
          <w:szCs w:val="24"/>
        </w:rPr>
        <w:t xml:space="preserve">The role that the site </w:t>
      </w:r>
      <w:r w:rsidR="00AE4506">
        <w:rPr>
          <w:rFonts w:eastAsia="Calibri"/>
          <w:spacing w:val="0"/>
          <w:szCs w:val="24"/>
        </w:rPr>
        <w:t xml:space="preserve">would </w:t>
      </w:r>
      <w:r w:rsidR="003A11C8" w:rsidRPr="003A11C8">
        <w:rPr>
          <w:rFonts w:eastAsia="Calibri"/>
          <w:spacing w:val="0"/>
          <w:szCs w:val="24"/>
        </w:rPr>
        <w:t xml:space="preserve">play in safeguarding the countryside from encroachment is more opaque and the remaining purposes have very limited or no relevance at all. </w:t>
      </w:r>
      <w:r w:rsidR="00D03015">
        <w:rPr>
          <w:rFonts w:eastAsia="Calibri"/>
          <w:spacing w:val="0"/>
          <w:szCs w:val="24"/>
        </w:rPr>
        <w:t xml:space="preserve"> </w:t>
      </w:r>
      <w:r w:rsidR="0058347F">
        <w:rPr>
          <w:rFonts w:eastAsia="Calibri"/>
          <w:spacing w:val="0"/>
          <w:szCs w:val="24"/>
        </w:rPr>
        <w:t>I take the view</w:t>
      </w:r>
      <w:r w:rsidR="00890000">
        <w:rPr>
          <w:rFonts w:eastAsia="Calibri"/>
          <w:spacing w:val="0"/>
          <w:szCs w:val="24"/>
        </w:rPr>
        <w:t xml:space="preserve"> that in a </w:t>
      </w:r>
      <w:r w:rsidR="00890000" w:rsidRPr="00B123BE">
        <w:rPr>
          <w:rFonts w:eastAsia="Calibri"/>
          <w:spacing w:val="0"/>
          <w:szCs w:val="24"/>
        </w:rPr>
        <w:t>no-scheme world the land would make a strong contribution to green belt purposes</w:t>
      </w:r>
      <w:r w:rsidR="003A11C8" w:rsidRPr="003A11C8">
        <w:rPr>
          <w:rFonts w:eastAsia="Calibri"/>
          <w:spacing w:val="0"/>
          <w:szCs w:val="24"/>
        </w:rPr>
        <w:t xml:space="preserve">, </w:t>
      </w:r>
      <w:r w:rsidR="00B123BE">
        <w:rPr>
          <w:rFonts w:eastAsia="Calibri"/>
          <w:spacing w:val="0"/>
          <w:szCs w:val="24"/>
        </w:rPr>
        <w:t xml:space="preserve">and accordingly </w:t>
      </w:r>
      <w:r w:rsidR="003A11C8" w:rsidRPr="003A11C8">
        <w:rPr>
          <w:rFonts w:eastAsia="Calibri"/>
          <w:spacing w:val="0"/>
          <w:szCs w:val="24"/>
        </w:rPr>
        <w:t>Mr Bolton’s assessment is to be preferred</w:t>
      </w:r>
      <w:r w:rsidR="00145A7A">
        <w:rPr>
          <w:rFonts w:eastAsia="Calibri"/>
          <w:spacing w:val="0"/>
          <w:szCs w:val="24"/>
        </w:rPr>
        <w:t>.</w:t>
      </w:r>
    </w:p>
    <w:p w14:paraId="7B13A0C4" w14:textId="23A0E002" w:rsidR="00761B73" w:rsidRPr="00761B73" w:rsidRDefault="00DF44B5" w:rsidP="00761B73">
      <w:pPr>
        <w:spacing w:after="360" w:line="259" w:lineRule="auto"/>
        <w:ind w:left="720" w:hanging="720"/>
        <w:jc w:val="both"/>
        <w:rPr>
          <w:rFonts w:eastAsia="Calibri"/>
          <w:spacing w:val="0"/>
          <w:szCs w:val="24"/>
        </w:rPr>
      </w:pPr>
      <w:r>
        <w:rPr>
          <w:rFonts w:eastAsia="Calibri"/>
          <w:spacing w:val="0"/>
          <w:szCs w:val="24"/>
        </w:rPr>
        <w:lastRenderedPageBreak/>
        <w:t>5</w:t>
      </w:r>
      <w:r w:rsidR="000F209B">
        <w:rPr>
          <w:rFonts w:eastAsia="Calibri"/>
          <w:spacing w:val="0"/>
          <w:szCs w:val="24"/>
        </w:rPr>
        <w:t>5</w:t>
      </w:r>
      <w:r w:rsidR="004174F3">
        <w:rPr>
          <w:rFonts w:eastAsia="Calibri"/>
          <w:spacing w:val="0"/>
          <w:szCs w:val="24"/>
        </w:rPr>
        <w:t>.</w:t>
      </w:r>
      <w:r w:rsidR="004174F3">
        <w:rPr>
          <w:rFonts w:eastAsia="Calibri"/>
          <w:spacing w:val="0"/>
          <w:szCs w:val="24"/>
        </w:rPr>
        <w:tab/>
      </w:r>
      <w:r w:rsidR="003A11C8" w:rsidRPr="003A11C8">
        <w:rPr>
          <w:rFonts w:eastAsia="Calibri"/>
          <w:spacing w:val="0"/>
          <w:szCs w:val="24"/>
        </w:rPr>
        <w:t xml:space="preserve">I </w:t>
      </w:r>
      <w:r w:rsidR="00EB3801">
        <w:rPr>
          <w:rFonts w:eastAsia="Calibri"/>
          <w:spacing w:val="0"/>
          <w:szCs w:val="24"/>
        </w:rPr>
        <w:t xml:space="preserve">agree </w:t>
      </w:r>
      <w:r w:rsidR="003A11C8" w:rsidRPr="003A11C8">
        <w:rPr>
          <w:rFonts w:eastAsia="Calibri"/>
          <w:spacing w:val="0"/>
          <w:szCs w:val="24"/>
        </w:rPr>
        <w:t>with Mr Bolton that</w:t>
      </w:r>
      <w:r w:rsidR="00AE4506">
        <w:rPr>
          <w:rFonts w:eastAsia="Calibri"/>
          <w:spacing w:val="0"/>
          <w:szCs w:val="24"/>
        </w:rPr>
        <w:t>, at the valuation date,</w:t>
      </w:r>
      <w:r w:rsidR="003A11C8" w:rsidRPr="003A11C8">
        <w:rPr>
          <w:rFonts w:eastAsia="Calibri"/>
          <w:spacing w:val="0"/>
          <w:szCs w:val="24"/>
        </w:rPr>
        <w:t xml:space="preserve"> in the short term (which </w:t>
      </w:r>
      <w:r w:rsidR="00EB3801">
        <w:rPr>
          <w:rFonts w:eastAsia="Calibri"/>
          <w:spacing w:val="0"/>
          <w:szCs w:val="24"/>
        </w:rPr>
        <w:t>he</w:t>
      </w:r>
      <w:r w:rsidR="003A11C8" w:rsidRPr="003A11C8">
        <w:rPr>
          <w:rFonts w:eastAsia="Calibri"/>
          <w:spacing w:val="0"/>
          <w:szCs w:val="24"/>
        </w:rPr>
        <w:t xml:space="preserve"> defines as up to 2023) there </w:t>
      </w:r>
      <w:r w:rsidR="003230FA">
        <w:rPr>
          <w:rFonts w:eastAsia="Calibri"/>
          <w:spacing w:val="0"/>
          <w:szCs w:val="24"/>
        </w:rPr>
        <w:t>would have been</w:t>
      </w:r>
      <w:r w:rsidR="003A11C8" w:rsidRPr="003A11C8">
        <w:rPr>
          <w:rFonts w:eastAsia="Calibri"/>
          <w:spacing w:val="0"/>
          <w:szCs w:val="24"/>
        </w:rPr>
        <w:t xml:space="preserve"> no prospect of development on the grazing land. However, </w:t>
      </w:r>
      <w:r w:rsidR="004A332A">
        <w:rPr>
          <w:rFonts w:eastAsia="Calibri"/>
          <w:spacing w:val="0"/>
          <w:szCs w:val="24"/>
        </w:rPr>
        <w:t xml:space="preserve">that </w:t>
      </w:r>
      <w:r w:rsidR="00F71C0C">
        <w:rPr>
          <w:rFonts w:eastAsia="Calibri"/>
          <w:spacing w:val="0"/>
          <w:szCs w:val="24"/>
        </w:rPr>
        <w:t xml:space="preserve">is not especially </w:t>
      </w:r>
      <w:r w:rsidR="0054703D">
        <w:rPr>
          <w:rFonts w:eastAsia="Calibri"/>
          <w:spacing w:val="0"/>
          <w:szCs w:val="24"/>
        </w:rPr>
        <w:t>determinative</w:t>
      </w:r>
      <w:r w:rsidR="00F71C0C">
        <w:rPr>
          <w:rFonts w:eastAsia="Calibri"/>
          <w:spacing w:val="0"/>
          <w:szCs w:val="24"/>
        </w:rPr>
        <w:t>.</w:t>
      </w:r>
      <w:r w:rsidR="003A11C8" w:rsidRPr="003A11C8">
        <w:rPr>
          <w:rFonts w:eastAsia="Calibri"/>
          <w:spacing w:val="0"/>
          <w:szCs w:val="24"/>
        </w:rPr>
        <w:t xml:space="preserve">  By its very nature</w:t>
      </w:r>
      <w:r w:rsidR="00EB3801">
        <w:rPr>
          <w:rFonts w:eastAsia="Calibri"/>
          <w:spacing w:val="0"/>
          <w:szCs w:val="24"/>
        </w:rPr>
        <w:t>,</w:t>
      </w:r>
      <w:r w:rsidR="003A11C8" w:rsidRPr="003A11C8">
        <w:rPr>
          <w:rFonts w:eastAsia="Calibri"/>
          <w:spacing w:val="0"/>
          <w:szCs w:val="24"/>
        </w:rPr>
        <w:t xml:space="preserve"> hope value relates to a longer term </w:t>
      </w:r>
      <w:r w:rsidR="003415BC" w:rsidRPr="003A11C8">
        <w:rPr>
          <w:rFonts w:eastAsia="Calibri"/>
          <w:spacing w:val="0"/>
          <w:szCs w:val="24"/>
        </w:rPr>
        <w:t>p</w:t>
      </w:r>
      <w:r w:rsidR="003415BC">
        <w:rPr>
          <w:rFonts w:eastAsia="Calibri"/>
          <w:spacing w:val="0"/>
          <w:szCs w:val="24"/>
        </w:rPr>
        <w:t>er</w:t>
      </w:r>
      <w:r w:rsidR="003415BC" w:rsidRPr="003A11C8">
        <w:rPr>
          <w:rFonts w:eastAsia="Calibri"/>
          <w:spacing w:val="0"/>
          <w:szCs w:val="24"/>
        </w:rPr>
        <w:t>spective</w:t>
      </w:r>
      <w:r w:rsidR="003A11C8" w:rsidRPr="003A11C8">
        <w:rPr>
          <w:rFonts w:eastAsia="Calibri"/>
          <w:spacing w:val="0"/>
          <w:szCs w:val="24"/>
        </w:rPr>
        <w:t xml:space="preserve">, certainly beyond the </w:t>
      </w:r>
      <w:r w:rsidR="00622095">
        <w:rPr>
          <w:rFonts w:eastAsia="Calibri"/>
          <w:spacing w:val="0"/>
          <w:szCs w:val="24"/>
        </w:rPr>
        <w:t>eight</w:t>
      </w:r>
      <w:r w:rsidR="003A11C8" w:rsidRPr="003A11C8">
        <w:rPr>
          <w:rFonts w:eastAsia="Calibri"/>
          <w:spacing w:val="0"/>
          <w:szCs w:val="24"/>
        </w:rPr>
        <w:t xml:space="preserve"> years contemplated by Mr Bolton.  </w:t>
      </w:r>
      <w:r w:rsidR="00E154B5">
        <w:rPr>
          <w:rFonts w:eastAsia="Calibri"/>
          <w:spacing w:val="0"/>
          <w:szCs w:val="24"/>
        </w:rPr>
        <w:t xml:space="preserve">It is likely that the </w:t>
      </w:r>
      <w:r w:rsidR="000F4605" w:rsidRPr="000F4605">
        <w:rPr>
          <w:rFonts w:eastAsia="Calibri"/>
          <w:spacing w:val="0"/>
          <w:szCs w:val="24"/>
        </w:rPr>
        <w:t xml:space="preserve">pressure on housing supply </w:t>
      </w:r>
      <w:r w:rsidR="00E154B5">
        <w:rPr>
          <w:rFonts w:eastAsia="Calibri"/>
          <w:spacing w:val="0"/>
          <w:szCs w:val="24"/>
        </w:rPr>
        <w:t>will per</w:t>
      </w:r>
      <w:r w:rsidR="007307F6">
        <w:rPr>
          <w:rFonts w:eastAsia="Calibri"/>
          <w:spacing w:val="0"/>
          <w:szCs w:val="24"/>
        </w:rPr>
        <w:t xml:space="preserve">sist beyond 2023 </w:t>
      </w:r>
      <w:r w:rsidR="003D49A4">
        <w:rPr>
          <w:rFonts w:eastAsia="Calibri"/>
          <w:spacing w:val="0"/>
          <w:szCs w:val="24"/>
        </w:rPr>
        <w:t xml:space="preserve">and </w:t>
      </w:r>
      <w:r w:rsidR="000F4605" w:rsidRPr="000F4605">
        <w:rPr>
          <w:rFonts w:eastAsia="Calibri"/>
          <w:spacing w:val="0"/>
          <w:szCs w:val="24"/>
        </w:rPr>
        <w:t>the experts agree that some green belt land will have to be released for development</w:t>
      </w:r>
      <w:r w:rsidR="007307F6">
        <w:rPr>
          <w:rFonts w:eastAsia="Calibri"/>
          <w:spacing w:val="0"/>
          <w:szCs w:val="24"/>
        </w:rPr>
        <w:t xml:space="preserve">.  </w:t>
      </w:r>
      <w:r w:rsidR="004E6775">
        <w:rPr>
          <w:rFonts w:eastAsia="Calibri"/>
          <w:spacing w:val="0"/>
          <w:szCs w:val="24"/>
        </w:rPr>
        <w:t>I have formed the view that in the no</w:t>
      </w:r>
      <w:r w:rsidR="00D72B52">
        <w:rPr>
          <w:rFonts w:eastAsia="Calibri"/>
          <w:spacing w:val="0"/>
          <w:szCs w:val="24"/>
        </w:rPr>
        <w:t xml:space="preserve">-scheme world the grazing land would </w:t>
      </w:r>
      <w:r w:rsidR="00D14B6D">
        <w:rPr>
          <w:rFonts w:eastAsia="Calibri"/>
          <w:spacing w:val="0"/>
          <w:szCs w:val="24"/>
        </w:rPr>
        <w:t xml:space="preserve">make a strong contribution to the purposes </w:t>
      </w:r>
      <w:r w:rsidR="005E6870">
        <w:rPr>
          <w:rFonts w:eastAsia="Calibri"/>
          <w:spacing w:val="0"/>
          <w:szCs w:val="24"/>
        </w:rPr>
        <w:t>of the green belt</w:t>
      </w:r>
      <w:r w:rsidR="000F4605" w:rsidRPr="000F4605">
        <w:rPr>
          <w:rFonts w:eastAsia="Calibri"/>
          <w:spacing w:val="0"/>
          <w:szCs w:val="24"/>
        </w:rPr>
        <w:t>,</w:t>
      </w:r>
      <w:r w:rsidR="00C263EA">
        <w:rPr>
          <w:rFonts w:eastAsia="Calibri"/>
          <w:spacing w:val="0"/>
          <w:szCs w:val="24"/>
        </w:rPr>
        <w:t xml:space="preserve"> and </w:t>
      </w:r>
      <w:r w:rsidR="00D867F5">
        <w:rPr>
          <w:rFonts w:eastAsia="Calibri"/>
          <w:spacing w:val="0"/>
          <w:szCs w:val="24"/>
        </w:rPr>
        <w:t xml:space="preserve">accordingly its prospects for development are quite remote.  </w:t>
      </w:r>
      <w:r w:rsidR="000972B7">
        <w:rPr>
          <w:rFonts w:eastAsia="Calibri"/>
          <w:spacing w:val="0"/>
          <w:szCs w:val="24"/>
        </w:rPr>
        <w:t>However,</w:t>
      </w:r>
      <w:r w:rsidR="00D867F5">
        <w:rPr>
          <w:rFonts w:eastAsia="Calibri"/>
          <w:spacing w:val="0"/>
          <w:szCs w:val="24"/>
        </w:rPr>
        <w:t xml:space="preserve"> that does</w:t>
      </w:r>
      <w:r w:rsidR="002A6808">
        <w:rPr>
          <w:rFonts w:eastAsia="Calibri"/>
          <w:spacing w:val="0"/>
          <w:szCs w:val="24"/>
        </w:rPr>
        <w:t xml:space="preserve"> not mean </w:t>
      </w:r>
      <w:r w:rsidR="000F4605" w:rsidRPr="000F4605">
        <w:rPr>
          <w:rFonts w:eastAsia="Calibri"/>
          <w:spacing w:val="0"/>
          <w:szCs w:val="24"/>
        </w:rPr>
        <w:t xml:space="preserve">that a prospective purchaser would </w:t>
      </w:r>
      <w:r w:rsidR="002A6808">
        <w:rPr>
          <w:rFonts w:eastAsia="Calibri"/>
          <w:spacing w:val="0"/>
          <w:szCs w:val="24"/>
        </w:rPr>
        <w:t xml:space="preserve">not </w:t>
      </w:r>
      <w:r w:rsidR="000F4605" w:rsidRPr="000F4605">
        <w:rPr>
          <w:rFonts w:eastAsia="Calibri"/>
          <w:spacing w:val="0"/>
          <w:szCs w:val="24"/>
        </w:rPr>
        <w:t>include an element of hope value in his bid.</w:t>
      </w:r>
      <w:r w:rsidR="00BB3A65">
        <w:rPr>
          <w:rFonts w:eastAsia="Calibri"/>
          <w:spacing w:val="0"/>
          <w:szCs w:val="24"/>
        </w:rPr>
        <w:t xml:space="preserve">  </w:t>
      </w:r>
      <w:r w:rsidR="00761B73" w:rsidRPr="00761B73">
        <w:rPr>
          <w:rFonts w:eastAsia="Calibri"/>
          <w:spacing w:val="0"/>
          <w:szCs w:val="24"/>
        </w:rPr>
        <w:t xml:space="preserve">The matter to be addressed is the quantification of that bid.  For the answer I now turn to the valuation evidence.  </w:t>
      </w:r>
    </w:p>
    <w:p w14:paraId="248B5161" w14:textId="64440B34" w:rsidR="003A11C8" w:rsidRDefault="003A11C8" w:rsidP="003A11C8">
      <w:pPr>
        <w:pStyle w:val="Normal2"/>
        <w:spacing w:after="360"/>
        <w:jc w:val="left"/>
        <w:rPr>
          <w:i/>
          <w:iCs/>
          <w:szCs w:val="24"/>
        </w:rPr>
      </w:pPr>
      <w:r>
        <w:rPr>
          <w:i/>
          <w:iCs/>
          <w:szCs w:val="24"/>
        </w:rPr>
        <w:t>Valuation Evidence</w:t>
      </w:r>
    </w:p>
    <w:p w14:paraId="13E4D9A9" w14:textId="08473AA8" w:rsidR="003A11C8" w:rsidRDefault="00DF44B5" w:rsidP="009A66F3">
      <w:pPr>
        <w:spacing w:after="360" w:line="259" w:lineRule="auto"/>
        <w:ind w:left="720" w:hanging="720"/>
        <w:jc w:val="both"/>
        <w:rPr>
          <w:rFonts w:eastAsia="Calibri"/>
          <w:spacing w:val="0"/>
          <w:szCs w:val="24"/>
        </w:rPr>
      </w:pPr>
      <w:r>
        <w:rPr>
          <w:rFonts w:eastAsia="Calibri"/>
          <w:spacing w:val="0"/>
          <w:szCs w:val="24"/>
        </w:rPr>
        <w:t>5</w:t>
      </w:r>
      <w:r w:rsidR="00DD451C">
        <w:rPr>
          <w:rFonts w:eastAsia="Calibri"/>
          <w:spacing w:val="0"/>
          <w:szCs w:val="24"/>
        </w:rPr>
        <w:t>6</w:t>
      </w:r>
      <w:r w:rsidR="009A66F3">
        <w:rPr>
          <w:rFonts w:eastAsia="Calibri"/>
          <w:spacing w:val="0"/>
          <w:szCs w:val="24"/>
        </w:rPr>
        <w:t>.</w:t>
      </w:r>
      <w:r w:rsidR="009A66F3">
        <w:rPr>
          <w:rFonts w:eastAsia="Calibri"/>
          <w:spacing w:val="0"/>
          <w:szCs w:val="24"/>
        </w:rPr>
        <w:tab/>
      </w:r>
      <w:r w:rsidR="003A11C8" w:rsidRPr="003A11C8">
        <w:rPr>
          <w:rFonts w:eastAsia="Calibri"/>
          <w:spacing w:val="0"/>
          <w:szCs w:val="24"/>
        </w:rPr>
        <w:t>Mr Ian Co</w:t>
      </w:r>
      <w:r w:rsidR="003A11C8">
        <w:rPr>
          <w:rFonts w:eastAsia="Calibri"/>
          <w:spacing w:val="0"/>
          <w:szCs w:val="24"/>
        </w:rPr>
        <w:t>u</w:t>
      </w:r>
      <w:r w:rsidR="003A11C8" w:rsidRPr="003A11C8">
        <w:rPr>
          <w:rFonts w:eastAsia="Calibri"/>
          <w:spacing w:val="0"/>
          <w:szCs w:val="24"/>
        </w:rPr>
        <w:t xml:space="preserve">lson </w:t>
      </w:r>
      <w:r w:rsidR="00EB3801">
        <w:rPr>
          <w:rFonts w:eastAsia="Calibri"/>
          <w:spacing w:val="0"/>
          <w:szCs w:val="24"/>
        </w:rPr>
        <w:t>FRICS</w:t>
      </w:r>
      <w:r w:rsidR="003F7D3C">
        <w:rPr>
          <w:rFonts w:eastAsia="Calibri"/>
          <w:spacing w:val="0"/>
          <w:szCs w:val="24"/>
        </w:rPr>
        <w:t xml:space="preserve"> </w:t>
      </w:r>
      <w:r w:rsidR="003A11C8" w:rsidRPr="003A11C8">
        <w:rPr>
          <w:rFonts w:eastAsia="Calibri"/>
          <w:spacing w:val="0"/>
          <w:szCs w:val="24"/>
        </w:rPr>
        <w:t xml:space="preserve">gave evidence for the claimant.  He is </w:t>
      </w:r>
      <w:r w:rsidR="00EB3801">
        <w:rPr>
          <w:rFonts w:eastAsia="Calibri"/>
          <w:spacing w:val="0"/>
          <w:szCs w:val="24"/>
        </w:rPr>
        <w:t>a</w:t>
      </w:r>
      <w:r w:rsidR="003A11C8" w:rsidRPr="003A11C8">
        <w:rPr>
          <w:rFonts w:eastAsia="Calibri"/>
          <w:spacing w:val="0"/>
          <w:szCs w:val="24"/>
        </w:rPr>
        <w:t xml:space="preserve"> director and sole practitioner in Co</w:t>
      </w:r>
      <w:r w:rsidR="003A11C8">
        <w:rPr>
          <w:rFonts w:eastAsia="Calibri"/>
          <w:spacing w:val="0"/>
          <w:szCs w:val="24"/>
        </w:rPr>
        <w:t>u</w:t>
      </w:r>
      <w:r w:rsidR="003A11C8" w:rsidRPr="003A11C8">
        <w:rPr>
          <w:rFonts w:eastAsia="Calibri"/>
          <w:spacing w:val="0"/>
          <w:szCs w:val="24"/>
        </w:rPr>
        <w:t xml:space="preserve">lson Property Services Limited which he founded in August 1989.  He has held a series of posts in </w:t>
      </w:r>
      <w:r w:rsidR="003A11C8">
        <w:rPr>
          <w:rFonts w:eastAsia="Calibri"/>
          <w:spacing w:val="0"/>
          <w:szCs w:val="24"/>
        </w:rPr>
        <w:t>C</w:t>
      </w:r>
      <w:r w:rsidR="003A11C8" w:rsidRPr="003A11C8">
        <w:rPr>
          <w:rFonts w:eastAsia="Calibri"/>
          <w:spacing w:val="0"/>
          <w:szCs w:val="24"/>
        </w:rPr>
        <w:t xml:space="preserve">ouncils in the Greater Manchester </w:t>
      </w:r>
      <w:r w:rsidR="00EB3801" w:rsidRPr="003A11C8">
        <w:rPr>
          <w:rFonts w:eastAsia="Calibri"/>
          <w:spacing w:val="0"/>
          <w:szCs w:val="24"/>
        </w:rPr>
        <w:t>area,</w:t>
      </w:r>
      <w:r w:rsidR="003A11C8" w:rsidRPr="003A11C8">
        <w:rPr>
          <w:rFonts w:eastAsia="Calibri"/>
          <w:spacing w:val="0"/>
          <w:szCs w:val="24"/>
        </w:rPr>
        <w:t xml:space="preserve"> and he currently provides advice to a number of </w:t>
      </w:r>
      <w:r w:rsidR="003A11C8">
        <w:rPr>
          <w:rFonts w:eastAsia="Calibri"/>
          <w:spacing w:val="0"/>
          <w:szCs w:val="24"/>
        </w:rPr>
        <w:t>B</w:t>
      </w:r>
      <w:r w:rsidR="003A11C8" w:rsidRPr="003A11C8">
        <w:rPr>
          <w:rFonts w:eastAsia="Calibri"/>
          <w:spacing w:val="0"/>
          <w:szCs w:val="24"/>
        </w:rPr>
        <w:t xml:space="preserve">orough </w:t>
      </w:r>
      <w:r w:rsidR="003A11C8">
        <w:rPr>
          <w:rFonts w:eastAsia="Calibri"/>
          <w:spacing w:val="0"/>
          <w:szCs w:val="24"/>
        </w:rPr>
        <w:t>C</w:t>
      </w:r>
      <w:r w:rsidR="003A11C8" w:rsidRPr="003A11C8">
        <w:rPr>
          <w:rFonts w:eastAsia="Calibri"/>
          <w:spacing w:val="0"/>
          <w:szCs w:val="24"/>
        </w:rPr>
        <w:t>ouncils</w:t>
      </w:r>
      <w:r w:rsidR="00EB3801">
        <w:rPr>
          <w:rFonts w:eastAsia="Calibri"/>
          <w:spacing w:val="0"/>
          <w:szCs w:val="24"/>
        </w:rPr>
        <w:t xml:space="preserve"> in connection with</w:t>
      </w:r>
      <w:r w:rsidR="003A11C8" w:rsidRPr="003A11C8">
        <w:rPr>
          <w:rFonts w:eastAsia="Calibri"/>
          <w:spacing w:val="0"/>
          <w:szCs w:val="24"/>
        </w:rPr>
        <w:t xml:space="preserve"> the acquisition and disposal of surplus land and property.</w:t>
      </w:r>
    </w:p>
    <w:p w14:paraId="7AD34FCE" w14:textId="149E1A1F" w:rsidR="007A012C" w:rsidRDefault="00DD451C" w:rsidP="009A66F3">
      <w:pPr>
        <w:spacing w:after="360" w:line="259" w:lineRule="auto"/>
        <w:ind w:left="720" w:hanging="720"/>
        <w:jc w:val="both"/>
        <w:rPr>
          <w:rFonts w:eastAsia="Calibri"/>
          <w:spacing w:val="0"/>
          <w:szCs w:val="24"/>
        </w:rPr>
      </w:pPr>
      <w:r>
        <w:rPr>
          <w:rFonts w:eastAsia="Calibri"/>
          <w:spacing w:val="0"/>
          <w:szCs w:val="24"/>
        </w:rPr>
        <w:t>57</w:t>
      </w:r>
      <w:r w:rsidR="009A66F3">
        <w:rPr>
          <w:rFonts w:eastAsia="Calibri"/>
          <w:spacing w:val="0"/>
          <w:szCs w:val="24"/>
        </w:rPr>
        <w:t>.</w:t>
      </w:r>
      <w:r w:rsidR="009A66F3">
        <w:rPr>
          <w:rFonts w:eastAsia="Calibri"/>
          <w:spacing w:val="0"/>
          <w:szCs w:val="24"/>
        </w:rPr>
        <w:tab/>
      </w:r>
      <w:r w:rsidR="003A11C8" w:rsidRPr="003A11C8">
        <w:rPr>
          <w:rFonts w:eastAsia="Calibri"/>
          <w:spacing w:val="0"/>
          <w:szCs w:val="24"/>
        </w:rPr>
        <w:t>Mr Co</w:t>
      </w:r>
      <w:r w:rsidR="00EB3801">
        <w:rPr>
          <w:rFonts w:eastAsia="Calibri"/>
          <w:spacing w:val="0"/>
          <w:szCs w:val="24"/>
        </w:rPr>
        <w:t>u</w:t>
      </w:r>
      <w:r w:rsidR="003A11C8" w:rsidRPr="003A11C8">
        <w:rPr>
          <w:rFonts w:eastAsia="Calibri"/>
          <w:spacing w:val="0"/>
          <w:szCs w:val="24"/>
        </w:rPr>
        <w:t xml:space="preserve">lson </w:t>
      </w:r>
      <w:r w:rsidR="00EB3801">
        <w:rPr>
          <w:rFonts w:eastAsia="Calibri"/>
          <w:spacing w:val="0"/>
          <w:szCs w:val="24"/>
        </w:rPr>
        <w:t>sa</w:t>
      </w:r>
      <w:r w:rsidR="007A012C">
        <w:rPr>
          <w:rFonts w:eastAsia="Calibri"/>
          <w:spacing w:val="0"/>
          <w:szCs w:val="24"/>
        </w:rPr>
        <w:t>id</w:t>
      </w:r>
      <w:r w:rsidR="00EB3801">
        <w:rPr>
          <w:rFonts w:eastAsia="Calibri"/>
          <w:spacing w:val="0"/>
          <w:szCs w:val="24"/>
        </w:rPr>
        <w:t xml:space="preserve"> </w:t>
      </w:r>
      <w:r w:rsidR="003A11C8" w:rsidRPr="003A11C8">
        <w:rPr>
          <w:rFonts w:eastAsia="Calibri"/>
          <w:spacing w:val="0"/>
          <w:szCs w:val="24"/>
        </w:rPr>
        <w:t>that land of this type in this locality tends to be in the ownership of wealthy landowners who he describe</w:t>
      </w:r>
      <w:r w:rsidR="002E286A">
        <w:rPr>
          <w:rFonts w:eastAsia="Calibri"/>
          <w:spacing w:val="0"/>
          <w:szCs w:val="24"/>
        </w:rPr>
        <w:t>d</w:t>
      </w:r>
      <w:r w:rsidR="003A11C8" w:rsidRPr="003A11C8">
        <w:rPr>
          <w:rFonts w:eastAsia="Calibri"/>
          <w:spacing w:val="0"/>
          <w:szCs w:val="24"/>
        </w:rPr>
        <w:t xml:space="preserve"> as not being under pressure to sell other than at a premium. </w:t>
      </w:r>
      <w:r w:rsidR="00EB3801">
        <w:rPr>
          <w:rFonts w:eastAsia="Calibri"/>
          <w:spacing w:val="0"/>
          <w:szCs w:val="24"/>
        </w:rPr>
        <w:t>T</w:t>
      </w:r>
      <w:r w:rsidR="003A11C8" w:rsidRPr="003A11C8">
        <w:rPr>
          <w:rFonts w:eastAsia="Calibri"/>
          <w:spacing w:val="0"/>
          <w:szCs w:val="24"/>
        </w:rPr>
        <w:t xml:space="preserve">heir reluctance to sell </w:t>
      </w:r>
      <w:r w:rsidR="00EB3801">
        <w:rPr>
          <w:rFonts w:eastAsia="Calibri"/>
          <w:spacing w:val="0"/>
          <w:szCs w:val="24"/>
        </w:rPr>
        <w:t>means</w:t>
      </w:r>
      <w:r w:rsidR="003A11C8" w:rsidRPr="003A11C8">
        <w:rPr>
          <w:rFonts w:eastAsia="Calibri"/>
          <w:spacing w:val="0"/>
          <w:szCs w:val="24"/>
        </w:rPr>
        <w:t xml:space="preserve"> that such land is not often transacted.  </w:t>
      </w:r>
      <w:r w:rsidR="007A012C">
        <w:rPr>
          <w:rFonts w:eastAsia="Calibri"/>
          <w:spacing w:val="0"/>
          <w:szCs w:val="24"/>
        </w:rPr>
        <w:t xml:space="preserve"> </w:t>
      </w:r>
      <w:r w:rsidR="007A012C" w:rsidRPr="003A11C8">
        <w:rPr>
          <w:rFonts w:eastAsia="Calibri"/>
          <w:spacing w:val="0"/>
          <w:szCs w:val="24"/>
        </w:rPr>
        <w:t>Mr Co</w:t>
      </w:r>
      <w:r w:rsidR="007A012C">
        <w:rPr>
          <w:rFonts w:eastAsia="Calibri"/>
          <w:spacing w:val="0"/>
          <w:szCs w:val="24"/>
        </w:rPr>
        <w:t>u</w:t>
      </w:r>
      <w:r w:rsidR="007A012C" w:rsidRPr="003A11C8">
        <w:rPr>
          <w:rFonts w:eastAsia="Calibri"/>
          <w:spacing w:val="0"/>
          <w:szCs w:val="24"/>
        </w:rPr>
        <w:t xml:space="preserve">lson’s </w:t>
      </w:r>
      <w:r w:rsidR="007A012C">
        <w:rPr>
          <w:rFonts w:eastAsia="Calibri"/>
          <w:spacing w:val="0"/>
          <w:szCs w:val="24"/>
        </w:rPr>
        <w:t>opinion</w:t>
      </w:r>
      <w:r w:rsidR="007A012C" w:rsidRPr="003A11C8">
        <w:rPr>
          <w:rFonts w:eastAsia="Calibri"/>
          <w:spacing w:val="0"/>
          <w:szCs w:val="24"/>
        </w:rPr>
        <w:t xml:space="preserve"> </w:t>
      </w:r>
      <w:r w:rsidR="002E286A">
        <w:rPr>
          <w:rFonts w:eastAsia="Calibri"/>
          <w:spacing w:val="0"/>
          <w:szCs w:val="24"/>
        </w:rPr>
        <w:t>was</w:t>
      </w:r>
      <w:r w:rsidR="007A012C">
        <w:rPr>
          <w:rFonts w:eastAsia="Calibri"/>
          <w:spacing w:val="0"/>
          <w:szCs w:val="24"/>
        </w:rPr>
        <w:t xml:space="preserve"> that </w:t>
      </w:r>
      <w:r w:rsidR="007A012C" w:rsidRPr="003A11C8">
        <w:rPr>
          <w:rFonts w:eastAsia="Calibri"/>
          <w:spacing w:val="0"/>
          <w:szCs w:val="24"/>
        </w:rPr>
        <w:t xml:space="preserve">land of this type would only normally </w:t>
      </w:r>
      <w:r w:rsidR="00C11CDD">
        <w:rPr>
          <w:rFonts w:eastAsia="Calibri"/>
          <w:spacing w:val="0"/>
          <w:szCs w:val="24"/>
        </w:rPr>
        <w:t>sell</w:t>
      </w:r>
      <w:r w:rsidR="007A012C" w:rsidRPr="003A11C8">
        <w:rPr>
          <w:rFonts w:eastAsia="Calibri"/>
          <w:spacing w:val="0"/>
          <w:szCs w:val="24"/>
        </w:rPr>
        <w:t xml:space="preserve"> at a level which includes an element of hope value which reflects the long-term possibility of development and takes into account demand for uses which are permitted in the green belt such as equestrian or outdoor sports and leisure uses.  </w:t>
      </w:r>
    </w:p>
    <w:p w14:paraId="1EBC5CD1" w14:textId="34279325" w:rsidR="001E365F" w:rsidRDefault="00DD451C" w:rsidP="009A66F3">
      <w:pPr>
        <w:spacing w:after="360" w:line="259" w:lineRule="auto"/>
        <w:ind w:left="720" w:hanging="720"/>
        <w:jc w:val="both"/>
        <w:rPr>
          <w:rFonts w:eastAsia="Calibri"/>
          <w:spacing w:val="0"/>
          <w:szCs w:val="24"/>
        </w:rPr>
      </w:pPr>
      <w:r>
        <w:rPr>
          <w:rFonts w:eastAsia="Calibri"/>
          <w:spacing w:val="0"/>
          <w:szCs w:val="24"/>
        </w:rPr>
        <w:t>58</w:t>
      </w:r>
      <w:r w:rsidR="009A66F3">
        <w:rPr>
          <w:rFonts w:eastAsia="Calibri"/>
          <w:spacing w:val="0"/>
          <w:szCs w:val="24"/>
        </w:rPr>
        <w:t>.</w:t>
      </w:r>
      <w:r w:rsidR="009A66F3">
        <w:rPr>
          <w:rFonts w:eastAsia="Calibri"/>
          <w:spacing w:val="0"/>
          <w:szCs w:val="24"/>
        </w:rPr>
        <w:tab/>
      </w:r>
      <w:r w:rsidR="001E365F" w:rsidRPr="001E365F">
        <w:rPr>
          <w:rFonts w:eastAsia="Calibri"/>
          <w:spacing w:val="0"/>
          <w:szCs w:val="24"/>
        </w:rPr>
        <w:t xml:space="preserve">Where </w:t>
      </w:r>
      <w:r w:rsidR="003A11C8" w:rsidRPr="003A11C8">
        <w:rPr>
          <w:rFonts w:eastAsia="Calibri"/>
          <w:spacing w:val="0"/>
          <w:szCs w:val="24"/>
        </w:rPr>
        <w:t>Mr Co</w:t>
      </w:r>
      <w:r w:rsidR="00EB3801">
        <w:rPr>
          <w:rFonts w:eastAsia="Calibri"/>
          <w:spacing w:val="0"/>
          <w:szCs w:val="24"/>
        </w:rPr>
        <w:t>u</w:t>
      </w:r>
      <w:r w:rsidR="003A11C8" w:rsidRPr="003A11C8">
        <w:rPr>
          <w:rFonts w:eastAsia="Calibri"/>
          <w:spacing w:val="0"/>
          <w:szCs w:val="24"/>
        </w:rPr>
        <w:t xml:space="preserve">lson </w:t>
      </w:r>
      <w:r w:rsidR="001E365F" w:rsidRPr="001E365F">
        <w:rPr>
          <w:rFonts w:eastAsia="Calibri"/>
          <w:spacing w:val="0"/>
          <w:szCs w:val="24"/>
        </w:rPr>
        <w:t xml:space="preserve">has had direct responsibility for the sale of residential development land on behalf of Councils, he </w:t>
      </w:r>
      <w:r w:rsidR="005A3147">
        <w:rPr>
          <w:rFonts w:eastAsia="Calibri"/>
          <w:spacing w:val="0"/>
          <w:szCs w:val="24"/>
        </w:rPr>
        <w:t xml:space="preserve">has </w:t>
      </w:r>
      <w:r w:rsidR="001E365F" w:rsidRPr="001E365F">
        <w:rPr>
          <w:rFonts w:eastAsia="Calibri"/>
          <w:spacing w:val="0"/>
          <w:szCs w:val="24"/>
        </w:rPr>
        <w:t>regularly receive</w:t>
      </w:r>
      <w:r w:rsidR="005A3147">
        <w:rPr>
          <w:rFonts w:eastAsia="Calibri"/>
          <w:spacing w:val="0"/>
          <w:szCs w:val="24"/>
        </w:rPr>
        <w:t>d</w:t>
      </w:r>
      <w:r w:rsidR="001E365F" w:rsidRPr="001E365F">
        <w:rPr>
          <w:rFonts w:eastAsia="Calibri"/>
          <w:spacing w:val="0"/>
          <w:szCs w:val="24"/>
        </w:rPr>
        <w:t xml:space="preserve"> approaches from national and local house builders seeking any available vacant land in the </w:t>
      </w:r>
      <w:r w:rsidR="00BD59E7">
        <w:rPr>
          <w:rFonts w:eastAsia="Calibri"/>
          <w:spacing w:val="0"/>
          <w:szCs w:val="24"/>
        </w:rPr>
        <w:t>N</w:t>
      </w:r>
      <w:r w:rsidR="001E365F" w:rsidRPr="001E365F">
        <w:rPr>
          <w:rFonts w:eastAsia="Calibri"/>
          <w:spacing w:val="0"/>
          <w:szCs w:val="24"/>
        </w:rPr>
        <w:t xml:space="preserve">orth </w:t>
      </w:r>
      <w:r w:rsidR="00BD59E7">
        <w:rPr>
          <w:rFonts w:eastAsia="Calibri"/>
          <w:spacing w:val="0"/>
          <w:szCs w:val="24"/>
        </w:rPr>
        <w:t>W</w:t>
      </w:r>
      <w:r w:rsidR="001E365F" w:rsidRPr="001E365F">
        <w:rPr>
          <w:rFonts w:eastAsia="Calibri"/>
          <w:spacing w:val="0"/>
          <w:szCs w:val="24"/>
        </w:rPr>
        <w:t xml:space="preserve">est.  It is his experience that house builders will enter into exclusive option agreements for up to </w:t>
      </w:r>
      <w:r w:rsidR="003168CD">
        <w:rPr>
          <w:rFonts w:eastAsia="Calibri"/>
          <w:spacing w:val="0"/>
          <w:szCs w:val="24"/>
        </w:rPr>
        <w:t>five</w:t>
      </w:r>
      <w:r w:rsidR="001E365F" w:rsidRPr="001E365F">
        <w:rPr>
          <w:rFonts w:eastAsia="Calibri"/>
          <w:spacing w:val="0"/>
          <w:szCs w:val="24"/>
        </w:rPr>
        <w:t xml:space="preserve"> years with the landowner to provide sufficient time to secure planning consent.  He </w:t>
      </w:r>
      <w:r w:rsidR="003A11C8" w:rsidRPr="003A11C8">
        <w:rPr>
          <w:rFonts w:eastAsia="Calibri"/>
          <w:spacing w:val="0"/>
          <w:szCs w:val="24"/>
        </w:rPr>
        <w:t xml:space="preserve">provides </w:t>
      </w:r>
      <w:r w:rsidR="001E365F" w:rsidRPr="001E365F">
        <w:rPr>
          <w:rFonts w:eastAsia="Calibri"/>
          <w:spacing w:val="0"/>
          <w:szCs w:val="24"/>
        </w:rPr>
        <w:t xml:space="preserve">an example of such an agreement relating to a site at Norbury Hall on the opposite side of Macclesfield Road from the grazing land.  In this case </w:t>
      </w:r>
      <w:r w:rsidR="0089383C" w:rsidRPr="001E365F">
        <w:rPr>
          <w:rFonts w:eastAsia="Calibri"/>
          <w:spacing w:val="0"/>
          <w:szCs w:val="24"/>
        </w:rPr>
        <w:t>Barr</w:t>
      </w:r>
      <w:r w:rsidR="0089383C">
        <w:rPr>
          <w:rFonts w:eastAsia="Calibri"/>
          <w:spacing w:val="0"/>
          <w:szCs w:val="24"/>
        </w:rPr>
        <w:t>a</w:t>
      </w:r>
      <w:r w:rsidR="0089383C" w:rsidRPr="001E365F">
        <w:rPr>
          <w:rFonts w:eastAsia="Calibri"/>
          <w:spacing w:val="0"/>
          <w:szCs w:val="24"/>
        </w:rPr>
        <w:t xml:space="preserve">tt </w:t>
      </w:r>
      <w:r w:rsidR="001E365F" w:rsidRPr="001E365F">
        <w:rPr>
          <w:rFonts w:eastAsia="Calibri"/>
          <w:spacing w:val="0"/>
          <w:szCs w:val="24"/>
        </w:rPr>
        <w:t>David Wilson Trading Limited entered into an option agreement for 5 years from 2 April 2015 with an ability to extend for a further 5 years on payment of an additional sum.</w:t>
      </w:r>
    </w:p>
    <w:p w14:paraId="719304A4" w14:textId="244B2D55" w:rsidR="00F81F5F" w:rsidRPr="001E365F" w:rsidRDefault="00DD451C" w:rsidP="009A66F3">
      <w:pPr>
        <w:spacing w:after="360" w:line="259" w:lineRule="auto"/>
        <w:ind w:left="720" w:hanging="720"/>
        <w:jc w:val="both"/>
        <w:rPr>
          <w:rFonts w:eastAsia="Calibri"/>
          <w:spacing w:val="0"/>
          <w:szCs w:val="24"/>
        </w:rPr>
      </w:pPr>
      <w:r>
        <w:rPr>
          <w:rFonts w:eastAsia="Calibri"/>
          <w:spacing w:val="0"/>
          <w:szCs w:val="24"/>
        </w:rPr>
        <w:t>59</w:t>
      </w:r>
      <w:r w:rsidR="009A66F3">
        <w:rPr>
          <w:rFonts w:eastAsia="Calibri"/>
          <w:spacing w:val="0"/>
          <w:szCs w:val="24"/>
        </w:rPr>
        <w:t>.</w:t>
      </w:r>
      <w:r w:rsidR="009A66F3">
        <w:rPr>
          <w:rFonts w:eastAsia="Calibri"/>
          <w:spacing w:val="0"/>
          <w:szCs w:val="24"/>
        </w:rPr>
        <w:tab/>
      </w:r>
      <w:r w:rsidR="00F81F5F" w:rsidRPr="003A11C8">
        <w:rPr>
          <w:rFonts w:eastAsia="Calibri"/>
          <w:spacing w:val="0"/>
          <w:szCs w:val="24"/>
        </w:rPr>
        <w:t>In Mr Co</w:t>
      </w:r>
      <w:r w:rsidR="00F81F5F">
        <w:rPr>
          <w:rFonts w:eastAsia="Calibri"/>
          <w:spacing w:val="0"/>
          <w:szCs w:val="24"/>
        </w:rPr>
        <w:t>u</w:t>
      </w:r>
      <w:r w:rsidR="00F81F5F" w:rsidRPr="003A11C8">
        <w:rPr>
          <w:rFonts w:eastAsia="Calibri"/>
          <w:spacing w:val="0"/>
          <w:szCs w:val="24"/>
        </w:rPr>
        <w:t xml:space="preserve">lson’s view the land would constitute one of the most sought-after locations in the South Manchester/Cheshire area and developers could expect to secure sales values </w:t>
      </w:r>
      <w:r w:rsidR="00AE48AF">
        <w:rPr>
          <w:rFonts w:eastAsia="Calibri"/>
          <w:spacing w:val="0"/>
          <w:szCs w:val="24"/>
        </w:rPr>
        <w:t xml:space="preserve">for houses </w:t>
      </w:r>
      <w:r w:rsidR="00F81F5F" w:rsidRPr="003A11C8">
        <w:rPr>
          <w:rFonts w:eastAsia="Calibri"/>
          <w:spacing w:val="0"/>
          <w:szCs w:val="24"/>
        </w:rPr>
        <w:t>in excess of £400 per sq. ft in comparison to elsewhere in Greater Manchester where £200-£225 per sq. ft would be the norm.</w:t>
      </w:r>
    </w:p>
    <w:p w14:paraId="5A04DCF5" w14:textId="4853FE99" w:rsidR="003A11C8" w:rsidRDefault="009A66F3" w:rsidP="009A66F3">
      <w:pPr>
        <w:spacing w:after="360" w:line="259" w:lineRule="auto"/>
        <w:ind w:left="720" w:hanging="720"/>
        <w:jc w:val="both"/>
        <w:rPr>
          <w:rFonts w:eastAsia="Calibri"/>
          <w:spacing w:val="0"/>
          <w:szCs w:val="24"/>
        </w:rPr>
      </w:pPr>
      <w:r>
        <w:rPr>
          <w:rFonts w:eastAsia="Calibri"/>
          <w:spacing w:val="0"/>
          <w:szCs w:val="24"/>
        </w:rPr>
        <w:lastRenderedPageBreak/>
        <w:t>6</w:t>
      </w:r>
      <w:r w:rsidR="00DD451C">
        <w:rPr>
          <w:rFonts w:eastAsia="Calibri"/>
          <w:spacing w:val="0"/>
          <w:szCs w:val="24"/>
        </w:rPr>
        <w:t>0</w:t>
      </w:r>
      <w:r>
        <w:rPr>
          <w:rFonts w:eastAsia="Calibri"/>
          <w:spacing w:val="0"/>
          <w:szCs w:val="24"/>
        </w:rPr>
        <w:t>.</w:t>
      </w:r>
      <w:r>
        <w:rPr>
          <w:rFonts w:eastAsia="Calibri"/>
          <w:spacing w:val="0"/>
          <w:szCs w:val="24"/>
        </w:rPr>
        <w:tab/>
      </w:r>
      <w:r w:rsidR="003A11C8" w:rsidRPr="003A11C8">
        <w:rPr>
          <w:rFonts w:eastAsia="Calibri"/>
          <w:spacing w:val="0"/>
          <w:szCs w:val="24"/>
        </w:rPr>
        <w:t>Mr Co</w:t>
      </w:r>
      <w:r w:rsidR="00EB3801">
        <w:rPr>
          <w:rFonts w:eastAsia="Calibri"/>
          <w:spacing w:val="0"/>
          <w:szCs w:val="24"/>
        </w:rPr>
        <w:t>u</w:t>
      </w:r>
      <w:r w:rsidR="003A11C8" w:rsidRPr="003A11C8">
        <w:rPr>
          <w:rFonts w:eastAsia="Calibri"/>
          <w:spacing w:val="0"/>
          <w:szCs w:val="24"/>
        </w:rPr>
        <w:t>lson provide</w:t>
      </w:r>
      <w:r w:rsidR="00312F78">
        <w:rPr>
          <w:rFonts w:eastAsia="Calibri"/>
          <w:spacing w:val="0"/>
          <w:szCs w:val="24"/>
        </w:rPr>
        <w:t>d</w:t>
      </w:r>
      <w:r w:rsidR="003A11C8" w:rsidRPr="003A11C8">
        <w:rPr>
          <w:rFonts w:eastAsia="Calibri"/>
          <w:spacing w:val="0"/>
          <w:szCs w:val="24"/>
        </w:rPr>
        <w:t xml:space="preserve"> details of </w:t>
      </w:r>
      <w:r w:rsidR="00F86203">
        <w:rPr>
          <w:rFonts w:eastAsia="Calibri"/>
          <w:spacing w:val="0"/>
          <w:szCs w:val="24"/>
        </w:rPr>
        <w:t>thirteen</w:t>
      </w:r>
      <w:r w:rsidR="003A11C8" w:rsidRPr="003A11C8">
        <w:rPr>
          <w:rFonts w:eastAsia="Calibri"/>
          <w:spacing w:val="0"/>
          <w:szCs w:val="24"/>
        </w:rPr>
        <w:t xml:space="preserve"> transactions</w:t>
      </w:r>
      <w:r w:rsidR="00F41267">
        <w:rPr>
          <w:rFonts w:eastAsia="Calibri"/>
          <w:spacing w:val="0"/>
          <w:szCs w:val="24"/>
        </w:rPr>
        <w:t>,</w:t>
      </w:r>
      <w:r w:rsidR="003A11C8" w:rsidRPr="003A11C8">
        <w:rPr>
          <w:rFonts w:eastAsia="Calibri"/>
          <w:spacing w:val="0"/>
          <w:szCs w:val="24"/>
        </w:rPr>
        <w:t xml:space="preserve"> all relating to </w:t>
      </w:r>
      <w:r w:rsidR="00EB3801">
        <w:rPr>
          <w:rFonts w:eastAsia="Calibri"/>
          <w:spacing w:val="0"/>
          <w:szCs w:val="24"/>
        </w:rPr>
        <w:t>G</w:t>
      </w:r>
      <w:r w:rsidR="003A11C8" w:rsidRPr="003A11C8">
        <w:rPr>
          <w:rFonts w:eastAsia="Calibri"/>
          <w:spacing w:val="0"/>
          <w:szCs w:val="24"/>
        </w:rPr>
        <w:t>reen</w:t>
      </w:r>
      <w:r w:rsidR="00EB3801">
        <w:rPr>
          <w:rFonts w:eastAsia="Calibri"/>
          <w:spacing w:val="0"/>
          <w:szCs w:val="24"/>
        </w:rPr>
        <w:t xml:space="preserve"> B</w:t>
      </w:r>
      <w:r w:rsidR="003A11C8" w:rsidRPr="003A11C8">
        <w:rPr>
          <w:rFonts w:eastAsia="Calibri"/>
          <w:spacing w:val="0"/>
          <w:szCs w:val="24"/>
        </w:rPr>
        <w:t>elt land</w:t>
      </w:r>
      <w:r w:rsidR="00973B5F">
        <w:rPr>
          <w:rFonts w:eastAsia="Calibri"/>
          <w:spacing w:val="0"/>
          <w:szCs w:val="24"/>
        </w:rPr>
        <w:t>.</w:t>
      </w:r>
      <w:r w:rsidR="003A11C8" w:rsidRPr="003A11C8">
        <w:rPr>
          <w:rFonts w:eastAsia="Calibri"/>
          <w:spacing w:val="0"/>
          <w:szCs w:val="24"/>
        </w:rPr>
        <w:t xml:space="preserve"> These vary in size from 1.3 acres to 20.34 acres and with a date range from December 2012 to </w:t>
      </w:r>
      <w:r w:rsidR="00B9527D">
        <w:rPr>
          <w:rFonts w:eastAsia="Calibri"/>
          <w:spacing w:val="0"/>
          <w:szCs w:val="24"/>
        </w:rPr>
        <w:t>February 2021</w:t>
      </w:r>
      <w:r w:rsidR="003A11C8" w:rsidRPr="003A11C8">
        <w:rPr>
          <w:rFonts w:eastAsia="Calibri"/>
          <w:spacing w:val="0"/>
          <w:szCs w:val="24"/>
        </w:rPr>
        <w:t>.  I have summarised the</w:t>
      </w:r>
      <w:r w:rsidR="00EF2710">
        <w:rPr>
          <w:rFonts w:eastAsia="Calibri"/>
          <w:spacing w:val="0"/>
          <w:szCs w:val="24"/>
        </w:rPr>
        <w:t>m</w:t>
      </w:r>
      <w:r w:rsidR="003A11C8" w:rsidRPr="003A11C8">
        <w:rPr>
          <w:rFonts w:eastAsia="Calibri"/>
          <w:spacing w:val="0"/>
          <w:szCs w:val="24"/>
        </w:rPr>
        <w:t xml:space="preserve"> in the following table.  Mr Co</w:t>
      </w:r>
      <w:r w:rsidR="00DA3B8E">
        <w:rPr>
          <w:rFonts w:eastAsia="Calibri"/>
          <w:spacing w:val="0"/>
          <w:szCs w:val="24"/>
        </w:rPr>
        <w:t>u</w:t>
      </w:r>
      <w:r w:rsidR="003A11C8" w:rsidRPr="003A11C8">
        <w:rPr>
          <w:rFonts w:eastAsia="Calibri"/>
          <w:spacing w:val="0"/>
          <w:szCs w:val="24"/>
        </w:rPr>
        <w:t>lson sa</w:t>
      </w:r>
      <w:r w:rsidR="00312F78">
        <w:rPr>
          <w:rFonts w:eastAsia="Calibri"/>
          <w:spacing w:val="0"/>
          <w:szCs w:val="24"/>
        </w:rPr>
        <w:t>id</w:t>
      </w:r>
      <w:r w:rsidR="003A11C8" w:rsidRPr="003A11C8">
        <w:rPr>
          <w:rFonts w:eastAsia="Calibri"/>
          <w:spacing w:val="0"/>
          <w:szCs w:val="24"/>
        </w:rPr>
        <w:t xml:space="preserve"> that these confirmed sales provide evidence of a trend for greenbelt grazing/equestrian land selling at a figure between £</w:t>
      </w:r>
      <w:r w:rsidR="006E4B1E">
        <w:rPr>
          <w:rFonts w:eastAsia="Calibri"/>
          <w:spacing w:val="0"/>
          <w:szCs w:val="24"/>
        </w:rPr>
        <w:t>17,857</w:t>
      </w:r>
      <w:r w:rsidR="003A11C8" w:rsidRPr="003A11C8">
        <w:rPr>
          <w:rFonts w:eastAsia="Calibri"/>
          <w:spacing w:val="0"/>
          <w:szCs w:val="24"/>
        </w:rPr>
        <w:t xml:space="preserve"> per acre to £46,280 per acre.</w:t>
      </w:r>
    </w:p>
    <w:p w14:paraId="595B0AA6" w14:textId="77777777" w:rsidR="006B581E" w:rsidRDefault="006B581E" w:rsidP="009A66F3">
      <w:pPr>
        <w:spacing w:after="360" w:line="259" w:lineRule="auto"/>
        <w:ind w:left="720" w:hanging="720"/>
        <w:jc w:val="both"/>
        <w:rPr>
          <w:rFonts w:eastAsia="Calibri"/>
          <w:spacing w:val="0"/>
          <w:szCs w:val="24"/>
        </w:rPr>
      </w:pPr>
    </w:p>
    <w:tbl>
      <w:tblPr>
        <w:tblStyle w:val="TableGrid"/>
        <w:tblW w:w="8505" w:type="dxa"/>
        <w:tblInd w:w="704" w:type="dxa"/>
        <w:tblLook w:val="04A0" w:firstRow="1" w:lastRow="0" w:firstColumn="1" w:lastColumn="0" w:noHBand="0" w:noVBand="1"/>
      </w:tblPr>
      <w:tblGrid>
        <w:gridCol w:w="425"/>
        <w:gridCol w:w="1619"/>
        <w:gridCol w:w="2863"/>
        <w:gridCol w:w="2065"/>
        <w:gridCol w:w="1533"/>
      </w:tblGrid>
      <w:tr w:rsidR="008661EF" w14:paraId="2A849C99" w14:textId="77777777" w:rsidTr="005F56F7">
        <w:tc>
          <w:tcPr>
            <w:tcW w:w="425" w:type="dxa"/>
            <w:tcBorders>
              <w:top w:val="single" w:sz="4" w:space="0" w:color="auto"/>
              <w:left w:val="single" w:sz="4" w:space="0" w:color="auto"/>
              <w:bottom w:val="single" w:sz="4" w:space="0" w:color="auto"/>
              <w:right w:val="single" w:sz="4" w:space="0" w:color="auto"/>
            </w:tcBorders>
          </w:tcPr>
          <w:p w14:paraId="2F9E05BC" w14:textId="77777777" w:rsidR="00420E45" w:rsidRDefault="00420E45">
            <w:pPr>
              <w:rPr>
                <w:spacing w:val="0"/>
                <w:sz w:val="22"/>
              </w:rPr>
            </w:pPr>
          </w:p>
        </w:tc>
        <w:tc>
          <w:tcPr>
            <w:tcW w:w="1619" w:type="dxa"/>
            <w:tcBorders>
              <w:top w:val="single" w:sz="4" w:space="0" w:color="auto"/>
              <w:left w:val="single" w:sz="4" w:space="0" w:color="auto"/>
              <w:bottom w:val="single" w:sz="4" w:space="0" w:color="auto"/>
              <w:right w:val="single" w:sz="4" w:space="0" w:color="auto"/>
            </w:tcBorders>
            <w:hideMark/>
          </w:tcPr>
          <w:p w14:paraId="5C4EC381" w14:textId="77777777" w:rsidR="00420E45" w:rsidRDefault="00420E45">
            <w:pPr>
              <w:rPr>
                <w:b/>
                <w:bCs/>
              </w:rPr>
            </w:pPr>
            <w:r>
              <w:rPr>
                <w:b/>
                <w:bCs/>
              </w:rPr>
              <w:t>Address</w:t>
            </w:r>
          </w:p>
        </w:tc>
        <w:tc>
          <w:tcPr>
            <w:tcW w:w="2863" w:type="dxa"/>
            <w:tcBorders>
              <w:top w:val="single" w:sz="4" w:space="0" w:color="auto"/>
              <w:left w:val="single" w:sz="4" w:space="0" w:color="auto"/>
              <w:bottom w:val="single" w:sz="4" w:space="0" w:color="auto"/>
              <w:right w:val="single" w:sz="4" w:space="0" w:color="auto"/>
            </w:tcBorders>
            <w:hideMark/>
          </w:tcPr>
          <w:p w14:paraId="54AF0D45" w14:textId="77777777" w:rsidR="00420E45" w:rsidRDefault="00420E45">
            <w:pPr>
              <w:rPr>
                <w:b/>
                <w:bCs/>
              </w:rPr>
            </w:pPr>
            <w:r>
              <w:rPr>
                <w:b/>
                <w:bCs/>
              </w:rPr>
              <w:t>Description</w:t>
            </w:r>
          </w:p>
        </w:tc>
        <w:tc>
          <w:tcPr>
            <w:tcW w:w="2065" w:type="dxa"/>
            <w:tcBorders>
              <w:top w:val="single" w:sz="4" w:space="0" w:color="auto"/>
              <w:left w:val="single" w:sz="4" w:space="0" w:color="auto"/>
              <w:bottom w:val="single" w:sz="4" w:space="0" w:color="auto"/>
              <w:right w:val="single" w:sz="4" w:space="0" w:color="auto"/>
            </w:tcBorders>
            <w:hideMark/>
          </w:tcPr>
          <w:p w14:paraId="5A9CEF00" w14:textId="77777777" w:rsidR="00420E45" w:rsidRDefault="00420E45">
            <w:pPr>
              <w:rPr>
                <w:b/>
                <w:bCs/>
              </w:rPr>
            </w:pPr>
            <w:r>
              <w:rPr>
                <w:b/>
                <w:bCs/>
              </w:rPr>
              <w:t>Terms/Price</w:t>
            </w:r>
          </w:p>
        </w:tc>
        <w:tc>
          <w:tcPr>
            <w:tcW w:w="1533" w:type="dxa"/>
            <w:tcBorders>
              <w:top w:val="single" w:sz="4" w:space="0" w:color="auto"/>
              <w:left w:val="single" w:sz="4" w:space="0" w:color="auto"/>
              <w:bottom w:val="single" w:sz="4" w:space="0" w:color="auto"/>
              <w:right w:val="single" w:sz="4" w:space="0" w:color="auto"/>
            </w:tcBorders>
            <w:hideMark/>
          </w:tcPr>
          <w:p w14:paraId="5189B228" w14:textId="77777777" w:rsidR="00420E45" w:rsidRDefault="00420E45">
            <w:pPr>
              <w:rPr>
                <w:b/>
                <w:bCs/>
              </w:rPr>
            </w:pPr>
            <w:r>
              <w:rPr>
                <w:b/>
                <w:bCs/>
              </w:rPr>
              <w:t>Analysis</w:t>
            </w:r>
          </w:p>
        </w:tc>
      </w:tr>
      <w:tr w:rsidR="008661EF" w14:paraId="0EF77D5E"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3C785AEC" w14:textId="77777777" w:rsidR="00420E45" w:rsidRDefault="00420E45">
            <w:r>
              <w:t>a</w:t>
            </w:r>
          </w:p>
        </w:tc>
        <w:tc>
          <w:tcPr>
            <w:tcW w:w="1619" w:type="dxa"/>
            <w:tcBorders>
              <w:top w:val="single" w:sz="4" w:space="0" w:color="auto"/>
              <w:left w:val="single" w:sz="4" w:space="0" w:color="auto"/>
              <w:bottom w:val="single" w:sz="4" w:space="0" w:color="auto"/>
              <w:right w:val="single" w:sz="4" w:space="0" w:color="auto"/>
            </w:tcBorders>
            <w:hideMark/>
          </w:tcPr>
          <w:p w14:paraId="7044D231" w14:textId="77777777" w:rsidR="00420E45" w:rsidRDefault="00420E45">
            <w:r>
              <w:t xml:space="preserve">Land at </w:t>
            </w:r>
            <w:proofErr w:type="spellStart"/>
            <w:r>
              <w:t>Moorend</w:t>
            </w:r>
            <w:proofErr w:type="spellEnd"/>
            <w:r>
              <w:t xml:space="preserve"> Golf Course, Woodford Road, Stockport</w:t>
            </w:r>
          </w:p>
        </w:tc>
        <w:tc>
          <w:tcPr>
            <w:tcW w:w="2863" w:type="dxa"/>
            <w:tcBorders>
              <w:top w:val="single" w:sz="4" w:space="0" w:color="auto"/>
              <w:left w:val="single" w:sz="4" w:space="0" w:color="auto"/>
              <w:bottom w:val="single" w:sz="4" w:space="0" w:color="auto"/>
              <w:right w:val="single" w:sz="4" w:space="0" w:color="auto"/>
            </w:tcBorders>
            <w:hideMark/>
          </w:tcPr>
          <w:p w14:paraId="1B40A66D" w14:textId="77777777" w:rsidR="00420E45" w:rsidRDefault="00420E45">
            <w:r>
              <w:t>Green belt land used as a pay and play golf course comprising 20.34 acres in area</w:t>
            </w:r>
          </w:p>
        </w:tc>
        <w:tc>
          <w:tcPr>
            <w:tcW w:w="2065" w:type="dxa"/>
            <w:tcBorders>
              <w:top w:val="single" w:sz="4" w:space="0" w:color="auto"/>
              <w:left w:val="single" w:sz="4" w:space="0" w:color="auto"/>
              <w:bottom w:val="single" w:sz="4" w:space="0" w:color="auto"/>
              <w:right w:val="single" w:sz="4" w:space="0" w:color="auto"/>
            </w:tcBorders>
            <w:hideMark/>
          </w:tcPr>
          <w:p w14:paraId="1A3D6A8F" w14:textId="77777777" w:rsidR="00420E45" w:rsidRDefault="00420E45">
            <w:r>
              <w:t>Settlement agreed with acquiring authority £940,000 plus fees</w:t>
            </w:r>
          </w:p>
        </w:tc>
        <w:tc>
          <w:tcPr>
            <w:tcW w:w="1533" w:type="dxa"/>
            <w:tcBorders>
              <w:top w:val="single" w:sz="4" w:space="0" w:color="auto"/>
              <w:left w:val="single" w:sz="4" w:space="0" w:color="auto"/>
              <w:bottom w:val="single" w:sz="4" w:space="0" w:color="auto"/>
              <w:right w:val="single" w:sz="4" w:space="0" w:color="auto"/>
            </w:tcBorders>
            <w:hideMark/>
          </w:tcPr>
          <w:p w14:paraId="412DA3F3" w14:textId="471CF5E3" w:rsidR="00420E45" w:rsidRDefault="00420E45">
            <w:r>
              <w:t>£44,24</w:t>
            </w:r>
            <w:r w:rsidR="00E22F70">
              <w:t xml:space="preserve">7 per </w:t>
            </w:r>
            <w:r>
              <w:t>acre</w:t>
            </w:r>
          </w:p>
        </w:tc>
      </w:tr>
      <w:tr w:rsidR="008661EF" w14:paraId="010AF2D0"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47913BB1" w14:textId="77777777" w:rsidR="00420E45" w:rsidRDefault="00420E45">
            <w:r>
              <w:t>b</w:t>
            </w:r>
          </w:p>
        </w:tc>
        <w:tc>
          <w:tcPr>
            <w:tcW w:w="1619" w:type="dxa"/>
            <w:tcBorders>
              <w:top w:val="single" w:sz="4" w:space="0" w:color="auto"/>
              <w:left w:val="single" w:sz="4" w:space="0" w:color="auto"/>
              <w:bottom w:val="single" w:sz="4" w:space="0" w:color="auto"/>
              <w:right w:val="single" w:sz="4" w:space="0" w:color="auto"/>
            </w:tcBorders>
            <w:hideMark/>
          </w:tcPr>
          <w:p w14:paraId="29ABC626" w14:textId="77777777" w:rsidR="00420E45" w:rsidRDefault="00420E45">
            <w:r>
              <w:t xml:space="preserve">Land at </w:t>
            </w:r>
            <w:proofErr w:type="spellStart"/>
            <w:r>
              <w:t>Ladythorn</w:t>
            </w:r>
            <w:proofErr w:type="spellEnd"/>
            <w:r>
              <w:t xml:space="preserve"> Road, Bramhall, Stockport</w:t>
            </w:r>
          </w:p>
        </w:tc>
        <w:tc>
          <w:tcPr>
            <w:tcW w:w="2863" w:type="dxa"/>
            <w:tcBorders>
              <w:top w:val="single" w:sz="4" w:space="0" w:color="auto"/>
              <w:left w:val="single" w:sz="4" w:space="0" w:color="auto"/>
              <w:bottom w:val="single" w:sz="4" w:space="0" w:color="auto"/>
              <w:right w:val="single" w:sz="4" w:space="0" w:color="auto"/>
            </w:tcBorders>
            <w:hideMark/>
          </w:tcPr>
          <w:p w14:paraId="3DDD7945" w14:textId="77777777" w:rsidR="00420E45" w:rsidRDefault="00420E45">
            <w:r>
              <w:t>Triangular shaped parcel of land within green belt, accessible by foot only from pathway below main west coast railway line or from adjoining golf course. 1.3 acres in area</w:t>
            </w:r>
          </w:p>
        </w:tc>
        <w:tc>
          <w:tcPr>
            <w:tcW w:w="2065" w:type="dxa"/>
            <w:tcBorders>
              <w:top w:val="single" w:sz="4" w:space="0" w:color="auto"/>
              <w:left w:val="single" w:sz="4" w:space="0" w:color="auto"/>
              <w:bottom w:val="single" w:sz="4" w:space="0" w:color="auto"/>
              <w:right w:val="single" w:sz="4" w:space="0" w:color="auto"/>
            </w:tcBorders>
            <w:hideMark/>
          </w:tcPr>
          <w:p w14:paraId="74822142" w14:textId="77777777" w:rsidR="00420E45" w:rsidRDefault="00420E45">
            <w:r>
              <w:t>Sold at auction 10 June 2019 for £40,000</w:t>
            </w:r>
          </w:p>
        </w:tc>
        <w:tc>
          <w:tcPr>
            <w:tcW w:w="1533" w:type="dxa"/>
            <w:tcBorders>
              <w:top w:val="single" w:sz="4" w:space="0" w:color="auto"/>
              <w:left w:val="single" w:sz="4" w:space="0" w:color="auto"/>
              <w:bottom w:val="single" w:sz="4" w:space="0" w:color="auto"/>
              <w:right w:val="single" w:sz="4" w:space="0" w:color="auto"/>
            </w:tcBorders>
            <w:hideMark/>
          </w:tcPr>
          <w:p w14:paraId="3F42CEF9" w14:textId="77777777" w:rsidR="00420E45" w:rsidRDefault="00420E45">
            <w:r>
              <w:t>£30,769 per acre</w:t>
            </w:r>
          </w:p>
        </w:tc>
      </w:tr>
      <w:tr w:rsidR="008661EF" w14:paraId="5470DFCE"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1C11CC90" w14:textId="77777777" w:rsidR="00420E45" w:rsidRDefault="00420E45">
            <w:r>
              <w:t>c</w:t>
            </w:r>
          </w:p>
        </w:tc>
        <w:tc>
          <w:tcPr>
            <w:tcW w:w="1619" w:type="dxa"/>
            <w:tcBorders>
              <w:top w:val="single" w:sz="4" w:space="0" w:color="auto"/>
              <w:left w:val="single" w:sz="4" w:space="0" w:color="auto"/>
              <w:bottom w:val="single" w:sz="4" w:space="0" w:color="auto"/>
              <w:right w:val="single" w:sz="4" w:space="0" w:color="auto"/>
            </w:tcBorders>
            <w:hideMark/>
          </w:tcPr>
          <w:p w14:paraId="71E1703A" w14:textId="645267F6" w:rsidR="00420E45" w:rsidRDefault="008661EF">
            <w:r>
              <w:t xml:space="preserve">West of </w:t>
            </w:r>
            <w:r w:rsidR="00420E45">
              <w:t>Woodford Road, Poynton</w:t>
            </w:r>
          </w:p>
        </w:tc>
        <w:tc>
          <w:tcPr>
            <w:tcW w:w="2863" w:type="dxa"/>
            <w:tcBorders>
              <w:top w:val="single" w:sz="4" w:space="0" w:color="auto"/>
              <w:left w:val="single" w:sz="4" w:space="0" w:color="auto"/>
              <w:bottom w:val="single" w:sz="4" w:space="0" w:color="auto"/>
              <w:right w:val="single" w:sz="4" w:space="0" w:color="auto"/>
            </w:tcBorders>
            <w:hideMark/>
          </w:tcPr>
          <w:p w14:paraId="709B4416" w14:textId="0D4BD48B" w:rsidR="00420E45" w:rsidRDefault="00420E45">
            <w:r>
              <w:t>Grazing green belt land</w:t>
            </w:r>
            <w:r w:rsidR="008661EF">
              <w:t xml:space="preserve"> </w:t>
            </w:r>
            <w:r w:rsidR="00A641DE">
              <w:t>totalling 14.26 acres in area</w:t>
            </w:r>
            <w:r w:rsidR="008661EF">
              <w:t>.</w:t>
            </w:r>
          </w:p>
        </w:tc>
        <w:tc>
          <w:tcPr>
            <w:tcW w:w="2065" w:type="dxa"/>
            <w:tcBorders>
              <w:top w:val="single" w:sz="4" w:space="0" w:color="auto"/>
              <w:left w:val="single" w:sz="4" w:space="0" w:color="auto"/>
              <w:bottom w:val="single" w:sz="4" w:space="0" w:color="auto"/>
              <w:right w:val="single" w:sz="4" w:space="0" w:color="auto"/>
            </w:tcBorders>
            <w:hideMark/>
          </w:tcPr>
          <w:p w14:paraId="0F8FEE84" w14:textId="77777777" w:rsidR="00420E45" w:rsidRDefault="00420E45">
            <w:r>
              <w:t>Settlement agreed with acquiring authority in the total sum of £285,000 completed 31 March 2015</w:t>
            </w:r>
          </w:p>
        </w:tc>
        <w:tc>
          <w:tcPr>
            <w:tcW w:w="1533" w:type="dxa"/>
            <w:tcBorders>
              <w:top w:val="single" w:sz="4" w:space="0" w:color="auto"/>
              <w:left w:val="single" w:sz="4" w:space="0" w:color="auto"/>
              <w:bottom w:val="single" w:sz="4" w:space="0" w:color="auto"/>
              <w:right w:val="single" w:sz="4" w:space="0" w:color="auto"/>
            </w:tcBorders>
            <w:hideMark/>
          </w:tcPr>
          <w:p w14:paraId="1FBDEE6F" w14:textId="1E17D034" w:rsidR="00420E45" w:rsidRDefault="00420E45">
            <w:r>
              <w:t>£19,</w:t>
            </w:r>
            <w:r w:rsidR="00E22F70">
              <w:t>986</w:t>
            </w:r>
            <w:r>
              <w:t xml:space="preserve"> per acre</w:t>
            </w:r>
          </w:p>
        </w:tc>
      </w:tr>
      <w:tr w:rsidR="008661EF" w14:paraId="1AD9528C"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0946C69E" w14:textId="77777777" w:rsidR="00420E45" w:rsidRDefault="00420E45">
            <w:r>
              <w:t>d</w:t>
            </w:r>
          </w:p>
        </w:tc>
        <w:tc>
          <w:tcPr>
            <w:tcW w:w="1619" w:type="dxa"/>
            <w:tcBorders>
              <w:top w:val="single" w:sz="4" w:space="0" w:color="auto"/>
              <w:left w:val="single" w:sz="4" w:space="0" w:color="auto"/>
              <w:bottom w:val="single" w:sz="4" w:space="0" w:color="auto"/>
              <w:right w:val="single" w:sz="4" w:space="0" w:color="auto"/>
            </w:tcBorders>
            <w:hideMark/>
          </w:tcPr>
          <w:p w14:paraId="7B3E5AA2" w14:textId="494C5ECE" w:rsidR="00420E45" w:rsidRDefault="00420E45">
            <w:r>
              <w:t xml:space="preserve">Warrington Road, Mickle Trafford, CH2 4AB </w:t>
            </w:r>
          </w:p>
        </w:tc>
        <w:tc>
          <w:tcPr>
            <w:tcW w:w="2863" w:type="dxa"/>
            <w:tcBorders>
              <w:top w:val="single" w:sz="4" w:space="0" w:color="auto"/>
              <w:left w:val="single" w:sz="4" w:space="0" w:color="auto"/>
              <w:bottom w:val="single" w:sz="4" w:space="0" w:color="auto"/>
              <w:right w:val="single" w:sz="4" w:space="0" w:color="auto"/>
            </w:tcBorders>
            <w:hideMark/>
          </w:tcPr>
          <w:p w14:paraId="222804BF" w14:textId="1484E4DB" w:rsidR="00420E45" w:rsidRDefault="00F40485">
            <w:r>
              <w:t>3.80 acres (1.54 hectares) of grazing land</w:t>
            </w:r>
            <w:r w:rsidR="003E438A">
              <w:t>.  Access via a track way only leading off the A56 in Mickle Trafford</w:t>
            </w:r>
          </w:p>
        </w:tc>
        <w:tc>
          <w:tcPr>
            <w:tcW w:w="2065" w:type="dxa"/>
            <w:tcBorders>
              <w:top w:val="single" w:sz="4" w:space="0" w:color="auto"/>
              <w:left w:val="single" w:sz="4" w:space="0" w:color="auto"/>
              <w:bottom w:val="single" w:sz="4" w:space="0" w:color="auto"/>
              <w:right w:val="single" w:sz="4" w:space="0" w:color="auto"/>
            </w:tcBorders>
            <w:hideMark/>
          </w:tcPr>
          <w:p w14:paraId="744ACBA8" w14:textId="77777777" w:rsidR="00420E45" w:rsidRDefault="00420E45">
            <w:r>
              <w:t>Sold for £100,000 at auction, held by Wright Marshall Limited on Thursday 23 April 2015</w:t>
            </w:r>
          </w:p>
        </w:tc>
        <w:tc>
          <w:tcPr>
            <w:tcW w:w="1533" w:type="dxa"/>
            <w:tcBorders>
              <w:top w:val="single" w:sz="4" w:space="0" w:color="auto"/>
              <w:left w:val="single" w:sz="4" w:space="0" w:color="auto"/>
              <w:bottom w:val="single" w:sz="4" w:space="0" w:color="auto"/>
              <w:right w:val="single" w:sz="4" w:space="0" w:color="auto"/>
            </w:tcBorders>
            <w:hideMark/>
          </w:tcPr>
          <w:p w14:paraId="7473D5AD" w14:textId="129B2167" w:rsidR="00420E45" w:rsidRDefault="00420E45">
            <w:r>
              <w:t>£26,315</w:t>
            </w:r>
            <w:r w:rsidR="00E22F70">
              <w:t xml:space="preserve">per </w:t>
            </w:r>
            <w:r>
              <w:t>acre</w:t>
            </w:r>
          </w:p>
        </w:tc>
      </w:tr>
      <w:tr w:rsidR="008661EF" w14:paraId="647A83B0"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1E4092B6" w14:textId="77777777" w:rsidR="00420E45" w:rsidRDefault="00420E45">
            <w:r>
              <w:t>e</w:t>
            </w:r>
          </w:p>
        </w:tc>
        <w:tc>
          <w:tcPr>
            <w:tcW w:w="1619" w:type="dxa"/>
            <w:tcBorders>
              <w:top w:val="single" w:sz="4" w:space="0" w:color="auto"/>
              <w:left w:val="single" w:sz="4" w:space="0" w:color="auto"/>
              <w:bottom w:val="single" w:sz="4" w:space="0" w:color="auto"/>
              <w:right w:val="single" w:sz="4" w:space="0" w:color="auto"/>
            </w:tcBorders>
            <w:hideMark/>
          </w:tcPr>
          <w:p w14:paraId="2E491F65" w14:textId="11DDD5FD" w:rsidR="00420E45" w:rsidRDefault="00420E45">
            <w:r>
              <w:t>Longsight Lane and Stanley Road, Cheadle, Hulme, Stockport</w:t>
            </w:r>
          </w:p>
        </w:tc>
        <w:tc>
          <w:tcPr>
            <w:tcW w:w="2863" w:type="dxa"/>
            <w:tcBorders>
              <w:top w:val="single" w:sz="4" w:space="0" w:color="auto"/>
              <w:left w:val="single" w:sz="4" w:space="0" w:color="auto"/>
              <w:bottom w:val="single" w:sz="4" w:space="0" w:color="auto"/>
              <w:right w:val="single" w:sz="4" w:space="0" w:color="auto"/>
            </w:tcBorders>
            <w:hideMark/>
          </w:tcPr>
          <w:p w14:paraId="46461FE9" w14:textId="05EE7500" w:rsidR="00420E45" w:rsidRDefault="003E438A">
            <w:r>
              <w:t>4 acres of g</w:t>
            </w:r>
            <w:r w:rsidR="00420E45">
              <w:t xml:space="preserve">reen belt land used for grazing. </w:t>
            </w:r>
          </w:p>
        </w:tc>
        <w:tc>
          <w:tcPr>
            <w:tcW w:w="2065" w:type="dxa"/>
            <w:tcBorders>
              <w:top w:val="single" w:sz="4" w:space="0" w:color="auto"/>
              <w:left w:val="single" w:sz="4" w:space="0" w:color="auto"/>
              <w:bottom w:val="single" w:sz="4" w:space="0" w:color="auto"/>
              <w:right w:val="single" w:sz="4" w:space="0" w:color="auto"/>
            </w:tcBorders>
            <w:hideMark/>
          </w:tcPr>
          <w:p w14:paraId="0B430CA8" w14:textId="77777777" w:rsidR="00420E45" w:rsidRDefault="00420E45">
            <w:r>
              <w:t>Originally sold with restriction on use on 31 January 1990 for £100,000 with a further agreement reached to release restriction on use for additional payment of £30,000 completed on 4 December 2012</w:t>
            </w:r>
          </w:p>
        </w:tc>
        <w:tc>
          <w:tcPr>
            <w:tcW w:w="1533" w:type="dxa"/>
            <w:tcBorders>
              <w:top w:val="single" w:sz="4" w:space="0" w:color="auto"/>
              <w:left w:val="single" w:sz="4" w:space="0" w:color="auto"/>
              <w:bottom w:val="single" w:sz="4" w:space="0" w:color="auto"/>
              <w:right w:val="single" w:sz="4" w:space="0" w:color="auto"/>
            </w:tcBorders>
            <w:hideMark/>
          </w:tcPr>
          <w:p w14:paraId="264948CC" w14:textId="645D1CF8" w:rsidR="00420E45" w:rsidRDefault="00420E45">
            <w:r>
              <w:t>£32,500 per acre</w:t>
            </w:r>
          </w:p>
        </w:tc>
      </w:tr>
      <w:tr w:rsidR="008661EF" w14:paraId="40A90976"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4B1ADF03" w14:textId="77777777" w:rsidR="00420E45" w:rsidRDefault="00420E45">
            <w:r>
              <w:lastRenderedPageBreak/>
              <w:t>f</w:t>
            </w:r>
          </w:p>
        </w:tc>
        <w:tc>
          <w:tcPr>
            <w:tcW w:w="1619" w:type="dxa"/>
            <w:tcBorders>
              <w:top w:val="single" w:sz="4" w:space="0" w:color="auto"/>
              <w:left w:val="single" w:sz="4" w:space="0" w:color="auto"/>
              <w:bottom w:val="single" w:sz="4" w:space="0" w:color="auto"/>
              <w:right w:val="single" w:sz="4" w:space="0" w:color="auto"/>
            </w:tcBorders>
            <w:hideMark/>
          </w:tcPr>
          <w:p w14:paraId="60EA5B64" w14:textId="77777777" w:rsidR="00420E45" w:rsidRDefault="00420E45">
            <w:r>
              <w:t xml:space="preserve">Land at </w:t>
            </w:r>
            <w:proofErr w:type="spellStart"/>
            <w:r>
              <w:t>Fallibroome</w:t>
            </w:r>
            <w:proofErr w:type="spellEnd"/>
            <w:r>
              <w:t xml:space="preserve"> Farm, Alderley Road, Prestbury</w:t>
            </w:r>
          </w:p>
        </w:tc>
        <w:tc>
          <w:tcPr>
            <w:tcW w:w="2863" w:type="dxa"/>
            <w:tcBorders>
              <w:top w:val="single" w:sz="4" w:space="0" w:color="auto"/>
              <w:left w:val="single" w:sz="4" w:space="0" w:color="auto"/>
              <w:bottom w:val="single" w:sz="4" w:space="0" w:color="auto"/>
              <w:right w:val="single" w:sz="4" w:space="0" w:color="auto"/>
            </w:tcBorders>
            <w:hideMark/>
          </w:tcPr>
          <w:p w14:paraId="19C0FB59" w14:textId="77777777" w:rsidR="00420E45" w:rsidRDefault="00420E45">
            <w:r>
              <w:t>14.84 acres of grazing green belt land</w:t>
            </w:r>
          </w:p>
        </w:tc>
        <w:tc>
          <w:tcPr>
            <w:tcW w:w="2065" w:type="dxa"/>
            <w:tcBorders>
              <w:top w:val="single" w:sz="4" w:space="0" w:color="auto"/>
              <w:left w:val="single" w:sz="4" w:space="0" w:color="auto"/>
              <w:bottom w:val="single" w:sz="4" w:space="0" w:color="auto"/>
              <w:right w:val="single" w:sz="4" w:space="0" w:color="auto"/>
            </w:tcBorders>
            <w:hideMark/>
          </w:tcPr>
          <w:p w14:paraId="1B774E04" w14:textId="77777777" w:rsidR="00420E45" w:rsidRDefault="00420E45">
            <w:r>
              <w:t>Sold at auction on 25 September 2019 for £265,000</w:t>
            </w:r>
          </w:p>
        </w:tc>
        <w:tc>
          <w:tcPr>
            <w:tcW w:w="1533" w:type="dxa"/>
            <w:tcBorders>
              <w:top w:val="single" w:sz="4" w:space="0" w:color="auto"/>
              <w:left w:val="single" w:sz="4" w:space="0" w:color="auto"/>
              <w:bottom w:val="single" w:sz="4" w:space="0" w:color="auto"/>
              <w:right w:val="single" w:sz="4" w:space="0" w:color="auto"/>
            </w:tcBorders>
            <w:hideMark/>
          </w:tcPr>
          <w:p w14:paraId="4AF8AA46" w14:textId="08A981C9" w:rsidR="00420E45" w:rsidRDefault="006E4B1E">
            <w:r>
              <w:t>£</w:t>
            </w:r>
            <w:r w:rsidR="00420E45">
              <w:t>17,857 per acre</w:t>
            </w:r>
          </w:p>
        </w:tc>
      </w:tr>
      <w:tr w:rsidR="008661EF" w14:paraId="0B9D2F66"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2FDCB907" w14:textId="77777777" w:rsidR="00420E45" w:rsidRDefault="00420E45">
            <w:r>
              <w:t>g</w:t>
            </w:r>
          </w:p>
        </w:tc>
        <w:tc>
          <w:tcPr>
            <w:tcW w:w="1619" w:type="dxa"/>
            <w:tcBorders>
              <w:top w:val="single" w:sz="4" w:space="0" w:color="auto"/>
              <w:left w:val="single" w:sz="4" w:space="0" w:color="auto"/>
              <w:bottom w:val="single" w:sz="4" w:space="0" w:color="auto"/>
              <w:right w:val="single" w:sz="4" w:space="0" w:color="auto"/>
            </w:tcBorders>
            <w:hideMark/>
          </w:tcPr>
          <w:p w14:paraId="41B30E1F" w14:textId="77777777" w:rsidR="00420E45" w:rsidRDefault="00420E45">
            <w:r>
              <w:t>Land at Towers Road, Poynton</w:t>
            </w:r>
          </w:p>
        </w:tc>
        <w:tc>
          <w:tcPr>
            <w:tcW w:w="2863" w:type="dxa"/>
            <w:tcBorders>
              <w:top w:val="single" w:sz="4" w:space="0" w:color="auto"/>
              <w:left w:val="single" w:sz="4" w:space="0" w:color="auto"/>
              <w:bottom w:val="single" w:sz="4" w:space="0" w:color="auto"/>
              <w:right w:val="single" w:sz="4" w:space="0" w:color="auto"/>
            </w:tcBorders>
            <w:hideMark/>
          </w:tcPr>
          <w:p w14:paraId="0D31872B" w14:textId="77777777" w:rsidR="00420E45" w:rsidRDefault="00420E45">
            <w:r>
              <w:t>2.1 acres of green belt agricultural grazing land</w:t>
            </w:r>
          </w:p>
        </w:tc>
        <w:tc>
          <w:tcPr>
            <w:tcW w:w="2065" w:type="dxa"/>
            <w:tcBorders>
              <w:top w:val="single" w:sz="4" w:space="0" w:color="auto"/>
              <w:left w:val="single" w:sz="4" w:space="0" w:color="auto"/>
              <w:bottom w:val="single" w:sz="4" w:space="0" w:color="auto"/>
              <w:right w:val="single" w:sz="4" w:space="0" w:color="auto"/>
            </w:tcBorders>
            <w:hideMark/>
          </w:tcPr>
          <w:p w14:paraId="401B302C" w14:textId="77777777" w:rsidR="00420E45" w:rsidRDefault="00420E45">
            <w:r>
              <w:t>Sold at auction by Wright Manley Estate Agents on 26 November 2019 for £80,000</w:t>
            </w:r>
          </w:p>
        </w:tc>
        <w:tc>
          <w:tcPr>
            <w:tcW w:w="1533" w:type="dxa"/>
            <w:tcBorders>
              <w:top w:val="single" w:sz="4" w:space="0" w:color="auto"/>
              <w:left w:val="single" w:sz="4" w:space="0" w:color="auto"/>
              <w:bottom w:val="single" w:sz="4" w:space="0" w:color="auto"/>
              <w:right w:val="single" w:sz="4" w:space="0" w:color="auto"/>
            </w:tcBorders>
            <w:hideMark/>
          </w:tcPr>
          <w:p w14:paraId="6E13E09F" w14:textId="12088B2B" w:rsidR="00420E45" w:rsidRDefault="00420E45">
            <w:r>
              <w:t>£36,897 per acre</w:t>
            </w:r>
          </w:p>
        </w:tc>
      </w:tr>
      <w:tr w:rsidR="008661EF" w14:paraId="189387D6"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28300471" w14:textId="77777777" w:rsidR="00420E45" w:rsidRDefault="00420E45">
            <w:r>
              <w:t>h</w:t>
            </w:r>
          </w:p>
        </w:tc>
        <w:tc>
          <w:tcPr>
            <w:tcW w:w="1619" w:type="dxa"/>
            <w:tcBorders>
              <w:top w:val="single" w:sz="4" w:space="0" w:color="auto"/>
              <w:left w:val="single" w:sz="4" w:space="0" w:color="auto"/>
              <w:bottom w:val="single" w:sz="4" w:space="0" w:color="auto"/>
              <w:right w:val="single" w:sz="4" w:space="0" w:color="auto"/>
            </w:tcBorders>
            <w:hideMark/>
          </w:tcPr>
          <w:p w14:paraId="55273938" w14:textId="77777777" w:rsidR="00420E45" w:rsidRDefault="00420E45">
            <w:r>
              <w:t>Land at Windmill Lane, Macclesfield</w:t>
            </w:r>
          </w:p>
        </w:tc>
        <w:tc>
          <w:tcPr>
            <w:tcW w:w="2863" w:type="dxa"/>
            <w:tcBorders>
              <w:top w:val="single" w:sz="4" w:space="0" w:color="auto"/>
              <w:left w:val="single" w:sz="4" w:space="0" w:color="auto"/>
              <w:bottom w:val="single" w:sz="4" w:space="0" w:color="auto"/>
              <w:right w:val="single" w:sz="4" w:space="0" w:color="auto"/>
            </w:tcBorders>
            <w:hideMark/>
          </w:tcPr>
          <w:p w14:paraId="5CCAEED6" w14:textId="77777777" w:rsidR="00420E45" w:rsidRDefault="00420E45">
            <w:r>
              <w:t>Equestrian green belt land extending to 6.94 acres in area</w:t>
            </w:r>
          </w:p>
        </w:tc>
        <w:tc>
          <w:tcPr>
            <w:tcW w:w="2065" w:type="dxa"/>
            <w:tcBorders>
              <w:top w:val="single" w:sz="4" w:space="0" w:color="auto"/>
              <w:left w:val="single" w:sz="4" w:space="0" w:color="auto"/>
              <w:bottom w:val="single" w:sz="4" w:space="0" w:color="auto"/>
              <w:right w:val="single" w:sz="4" w:space="0" w:color="auto"/>
            </w:tcBorders>
            <w:hideMark/>
          </w:tcPr>
          <w:p w14:paraId="70396B3F" w14:textId="77777777" w:rsidR="00420E45" w:rsidRDefault="00420E45">
            <w:r>
              <w:t>Sold by Whittaker Biggs Agents in December 2019 for £280,000.00</w:t>
            </w:r>
          </w:p>
        </w:tc>
        <w:tc>
          <w:tcPr>
            <w:tcW w:w="1533" w:type="dxa"/>
            <w:tcBorders>
              <w:top w:val="single" w:sz="4" w:space="0" w:color="auto"/>
              <w:left w:val="single" w:sz="4" w:space="0" w:color="auto"/>
              <w:bottom w:val="single" w:sz="4" w:space="0" w:color="auto"/>
              <w:right w:val="single" w:sz="4" w:space="0" w:color="auto"/>
            </w:tcBorders>
            <w:hideMark/>
          </w:tcPr>
          <w:p w14:paraId="65D4321E" w14:textId="6CCFAC43" w:rsidR="00420E45" w:rsidRDefault="00420E45">
            <w:r>
              <w:t>£46,280 per acre</w:t>
            </w:r>
          </w:p>
        </w:tc>
      </w:tr>
      <w:tr w:rsidR="008661EF" w14:paraId="2974B769"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6ECED589" w14:textId="77777777" w:rsidR="00420E45" w:rsidRDefault="00420E45">
            <w:proofErr w:type="spellStart"/>
            <w:r>
              <w:t>i</w:t>
            </w:r>
            <w:proofErr w:type="spellEnd"/>
          </w:p>
        </w:tc>
        <w:tc>
          <w:tcPr>
            <w:tcW w:w="1619" w:type="dxa"/>
            <w:tcBorders>
              <w:top w:val="single" w:sz="4" w:space="0" w:color="auto"/>
              <w:left w:val="single" w:sz="4" w:space="0" w:color="auto"/>
              <w:bottom w:val="single" w:sz="4" w:space="0" w:color="auto"/>
              <w:right w:val="single" w:sz="4" w:space="0" w:color="auto"/>
            </w:tcBorders>
            <w:hideMark/>
          </w:tcPr>
          <w:p w14:paraId="0FE2DCD6" w14:textId="77777777" w:rsidR="00420E45" w:rsidRDefault="00420E45">
            <w:r>
              <w:t>Spring Bank Stables, Congleton Edge, CW12 3GR</w:t>
            </w:r>
          </w:p>
        </w:tc>
        <w:tc>
          <w:tcPr>
            <w:tcW w:w="2863" w:type="dxa"/>
            <w:tcBorders>
              <w:top w:val="single" w:sz="4" w:space="0" w:color="auto"/>
              <w:left w:val="single" w:sz="4" w:space="0" w:color="auto"/>
              <w:bottom w:val="single" w:sz="4" w:space="0" w:color="auto"/>
              <w:right w:val="single" w:sz="4" w:space="0" w:color="auto"/>
            </w:tcBorders>
            <w:hideMark/>
          </w:tcPr>
          <w:p w14:paraId="0D3EBF28" w14:textId="77777777" w:rsidR="00420E45" w:rsidRDefault="00420E45">
            <w:r>
              <w:t>4.03 acres of green belt land with stables</w:t>
            </w:r>
          </w:p>
        </w:tc>
        <w:tc>
          <w:tcPr>
            <w:tcW w:w="2065" w:type="dxa"/>
            <w:tcBorders>
              <w:top w:val="single" w:sz="4" w:space="0" w:color="auto"/>
              <w:left w:val="single" w:sz="4" w:space="0" w:color="auto"/>
              <w:bottom w:val="single" w:sz="4" w:space="0" w:color="auto"/>
              <w:right w:val="single" w:sz="4" w:space="0" w:color="auto"/>
            </w:tcBorders>
            <w:hideMark/>
          </w:tcPr>
          <w:p w14:paraId="3B382AF6" w14:textId="77777777" w:rsidR="00420E45" w:rsidRDefault="00420E45">
            <w:r>
              <w:t>Sold September 2020 for £120,000.00</w:t>
            </w:r>
          </w:p>
        </w:tc>
        <w:tc>
          <w:tcPr>
            <w:tcW w:w="1533" w:type="dxa"/>
            <w:tcBorders>
              <w:top w:val="single" w:sz="4" w:space="0" w:color="auto"/>
              <w:left w:val="single" w:sz="4" w:space="0" w:color="auto"/>
              <w:bottom w:val="single" w:sz="4" w:space="0" w:color="auto"/>
              <w:right w:val="single" w:sz="4" w:space="0" w:color="auto"/>
            </w:tcBorders>
            <w:hideMark/>
          </w:tcPr>
          <w:p w14:paraId="74D4F981" w14:textId="761076A8" w:rsidR="00420E45" w:rsidRDefault="00420E45">
            <w:r>
              <w:t>£29,777 per acre</w:t>
            </w:r>
          </w:p>
        </w:tc>
      </w:tr>
      <w:tr w:rsidR="008661EF" w14:paraId="71BA3DB4"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7DAD0032" w14:textId="77777777" w:rsidR="00420E45" w:rsidRDefault="00420E45">
            <w:r>
              <w:t>j</w:t>
            </w:r>
          </w:p>
        </w:tc>
        <w:tc>
          <w:tcPr>
            <w:tcW w:w="1619" w:type="dxa"/>
            <w:tcBorders>
              <w:top w:val="single" w:sz="4" w:space="0" w:color="auto"/>
              <w:left w:val="single" w:sz="4" w:space="0" w:color="auto"/>
              <w:bottom w:val="single" w:sz="4" w:space="0" w:color="auto"/>
              <w:right w:val="single" w:sz="4" w:space="0" w:color="auto"/>
            </w:tcBorders>
            <w:hideMark/>
          </w:tcPr>
          <w:p w14:paraId="70ED822F" w14:textId="595B37FB" w:rsidR="00420E45" w:rsidRDefault="00420E45">
            <w:r>
              <w:t xml:space="preserve">Cloud </w:t>
            </w:r>
            <w:r w:rsidR="002304BD">
              <w:t>V</w:t>
            </w:r>
            <w:r>
              <w:t>iew Stables, Congleton Edge, CW12 3GR</w:t>
            </w:r>
          </w:p>
        </w:tc>
        <w:tc>
          <w:tcPr>
            <w:tcW w:w="2863" w:type="dxa"/>
            <w:tcBorders>
              <w:top w:val="single" w:sz="4" w:space="0" w:color="auto"/>
              <w:left w:val="single" w:sz="4" w:space="0" w:color="auto"/>
              <w:bottom w:val="single" w:sz="4" w:space="0" w:color="auto"/>
              <w:right w:val="single" w:sz="4" w:space="0" w:color="auto"/>
            </w:tcBorders>
            <w:hideMark/>
          </w:tcPr>
          <w:p w14:paraId="62A8475F" w14:textId="77777777" w:rsidR="00420E45" w:rsidRDefault="00420E45">
            <w:r>
              <w:t>Green belt land extending to 3 acres in area</w:t>
            </w:r>
          </w:p>
        </w:tc>
        <w:tc>
          <w:tcPr>
            <w:tcW w:w="2065" w:type="dxa"/>
            <w:tcBorders>
              <w:top w:val="single" w:sz="4" w:space="0" w:color="auto"/>
              <w:left w:val="single" w:sz="4" w:space="0" w:color="auto"/>
              <w:bottom w:val="single" w:sz="4" w:space="0" w:color="auto"/>
              <w:right w:val="single" w:sz="4" w:space="0" w:color="auto"/>
            </w:tcBorders>
            <w:hideMark/>
          </w:tcPr>
          <w:p w14:paraId="6CC702EB" w14:textId="77777777" w:rsidR="00420E45" w:rsidRDefault="00420E45">
            <w:r>
              <w:t>Sold in February 2021 for £100,000</w:t>
            </w:r>
          </w:p>
        </w:tc>
        <w:tc>
          <w:tcPr>
            <w:tcW w:w="1533" w:type="dxa"/>
            <w:tcBorders>
              <w:top w:val="single" w:sz="4" w:space="0" w:color="auto"/>
              <w:left w:val="single" w:sz="4" w:space="0" w:color="auto"/>
              <w:bottom w:val="single" w:sz="4" w:space="0" w:color="auto"/>
              <w:right w:val="single" w:sz="4" w:space="0" w:color="auto"/>
            </w:tcBorders>
            <w:hideMark/>
          </w:tcPr>
          <w:p w14:paraId="29C7D16E" w14:textId="70A4EFA8" w:rsidR="00420E45" w:rsidRDefault="00420E45">
            <w:r>
              <w:t>£33,333 per acre</w:t>
            </w:r>
          </w:p>
        </w:tc>
      </w:tr>
      <w:tr w:rsidR="008661EF" w14:paraId="0989C281"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10DE0CF1" w14:textId="77777777" w:rsidR="00420E45" w:rsidRDefault="00420E45">
            <w:r>
              <w:t>k</w:t>
            </w:r>
          </w:p>
        </w:tc>
        <w:tc>
          <w:tcPr>
            <w:tcW w:w="1619" w:type="dxa"/>
            <w:tcBorders>
              <w:top w:val="single" w:sz="4" w:space="0" w:color="auto"/>
              <w:left w:val="single" w:sz="4" w:space="0" w:color="auto"/>
              <w:bottom w:val="single" w:sz="4" w:space="0" w:color="auto"/>
              <w:right w:val="single" w:sz="4" w:space="0" w:color="auto"/>
            </w:tcBorders>
            <w:hideMark/>
          </w:tcPr>
          <w:p w14:paraId="31A3386B" w14:textId="77777777" w:rsidR="00420E45" w:rsidRDefault="00420E45">
            <w:r>
              <w:t>Green belt land at Over Alderley</w:t>
            </w:r>
          </w:p>
        </w:tc>
        <w:tc>
          <w:tcPr>
            <w:tcW w:w="2863" w:type="dxa"/>
            <w:tcBorders>
              <w:top w:val="single" w:sz="4" w:space="0" w:color="auto"/>
              <w:left w:val="single" w:sz="4" w:space="0" w:color="auto"/>
              <w:bottom w:val="single" w:sz="4" w:space="0" w:color="auto"/>
              <w:right w:val="single" w:sz="4" w:space="0" w:color="auto"/>
            </w:tcBorders>
            <w:hideMark/>
          </w:tcPr>
          <w:p w14:paraId="5DB8238E" w14:textId="77777777" w:rsidR="00420E45" w:rsidRDefault="00420E45">
            <w:r>
              <w:t>9.92 acres of grazing land</w:t>
            </w:r>
          </w:p>
        </w:tc>
        <w:tc>
          <w:tcPr>
            <w:tcW w:w="2065" w:type="dxa"/>
            <w:tcBorders>
              <w:top w:val="single" w:sz="4" w:space="0" w:color="auto"/>
              <w:left w:val="single" w:sz="4" w:space="0" w:color="auto"/>
              <w:bottom w:val="single" w:sz="4" w:space="0" w:color="auto"/>
              <w:right w:val="single" w:sz="4" w:space="0" w:color="auto"/>
            </w:tcBorders>
            <w:hideMark/>
          </w:tcPr>
          <w:p w14:paraId="7C38F1BF" w14:textId="77777777" w:rsidR="00420E45" w:rsidRDefault="00420E45">
            <w:r>
              <w:t>Sold 20 September 2020 for £208,000</w:t>
            </w:r>
          </w:p>
        </w:tc>
        <w:tc>
          <w:tcPr>
            <w:tcW w:w="1533" w:type="dxa"/>
            <w:tcBorders>
              <w:top w:val="single" w:sz="4" w:space="0" w:color="auto"/>
              <w:left w:val="single" w:sz="4" w:space="0" w:color="auto"/>
              <w:bottom w:val="single" w:sz="4" w:space="0" w:color="auto"/>
              <w:right w:val="single" w:sz="4" w:space="0" w:color="auto"/>
            </w:tcBorders>
            <w:hideMark/>
          </w:tcPr>
          <w:p w14:paraId="2F9F338F" w14:textId="028AFE24" w:rsidR="00420E45" w:rsidRDefault="00420E45">
            <w:r>
              <w:t>£21,000 per acre</w:t>
            </w:r>
          </w:p>
        </w:tc>
      </w:tr>
      <w:tr w:rsidR="008661EF" w14:paraId="1FF62084" w14:textId="77777777" w:rsidTr="005F56F7">
        <w:tc>
          <w:tcPr>
            <w:tcW w:w="425" w:type="dxa"/>
            <w:tcBorders>
              <w:top w:val="single" w:sz="4" w:space="0" w:color="auto"/>
              <w:left w:val="single" w:sz="4" w:space="0" w:color="auto"/>
              <w:bottom w:val="single" w:sz="4" w:space="0" w:color="auto"/>
              <w:right w:val="single" w:sz="4" w:space="0" w:color="auto"/>
            </w:tcBorders>
            <w:hideMark/>
          </w:tcPr>
          <w:p w14:paraId="04F78245" w14:textId="77777777" w:rsidR="00420E45" w:rsidRDefault="00420E45">
            <w:r>
              <w:t>l</w:t>
            </w:r>
          </w:p>
        </w:tc>
        <w:tc>
          <w:tcPr>
            <w:tcW w:w="1619" w:type="dxa"/>
            <w:tcBorders>
              <w:top w:val="single" w:sz="4" w:space="0" w:color="auto"/>
              <w:left w:val="single" w:sz="4" w:space="0" w:color="auto"/>
              <w:bottom w:val="single" w:sz="4" w:space="0" w:color="auto"/>
              <w:right w:val="single" w:sz="4" w:space="0" w:color="auto"/>
            </w:tcBorders>
            <w:hideMark/>
          </w:tcPr>
          <w:p w14:paraId="264D3569" w14:textId="14E84707" w:rsidR="00420E45" w:rsidRDefault="00420E45">
            <w:proofErr w:type="spellStart"/>
            <w:r>
              <w:t>Chelford</w:t>
            </w:r>
            <w:proofErr w:type="spellEnd"/>
            <w:r>
              <w:t xml:space="preserve"> Road, Prestbury, SK10 4PT</w:t>
            </w:r>
          </w:p>
        </w:tc>
        <w:tc>
          <w:tcPr>
            <w:tcW w:w="2863" w:type="dxa"/>
            <w:tcBorders>
              <w:top w:val="single" w:sz="4" w:space="0" w:color="auto"/>
              <w:left w:val="single" w:sz="4" w:space="0" w:color="auto"/>
              <w:bottom w:val="single" w:sz="4" w:space="0" w:color="auto"/>
              <w:right w:val="single" w:sz="4" w:space="0" w:color="auto"/>
            </w:tcBorders>
            <w:hideMark/>
          </w:tcPr>
          <w:p w14:paraId="7B06B44A" w14:textId="41455B6B" w:rsidR="00420E45" w:rsidRDefault="00420E45">
            <w:r>
              <w:t>2.7 acres</w:t>
            </w:r>
            <w:r w:rsidR="005E2D1C">
              <w:t xml:space="preserve"> of grazing land</w:t>
            </w:r>
          </w:p>
        </w:tc>
        <w:tc>
          <w:tcPr>
            <w:tcW w:w="2065" w:type="dxa"/>
            <w:tcBorders>
              <w:top w:val="single" w:sz="4" w:space="0" w:color="auto"/>
              <w:left w:val="single" w:sz="4" w:space="0" w:color="auto"/>
              <w:bottom w:val="single" w:sz="4" w:space="0" w:color="auto"/>
              <w:right w:val="single" w:sz="4" w:space="0" w:color="auto"/>
            </w:tcBorders>
            <w:hideMark/>
          </w:tcPr>
          <w:p w14:paraId="4B3F6F19" w14:textId="77777777" w:rsidR="00420E45" w:rsidRDefault="00420E45">
            <w:r>
              <w:t>Sold for £85,000 in 2019</w:t>
            </w:r>
          </w:p>
        </w:tc>
        <w:tc>
          <w:tcPr>
            <w:tcW w:w="1533" w:type="dxa"/>
            <w:tcBorders>
              <w:top w:val="single" w:sz="4" w:space="0" w:color="auto"/>
              <w:left w:val="single" w:sz="4" w:space="0" w:color="auto"/>
              <w:bottom w:val="single" w:sz="4" w:space="0" w:color="auto"/>
              <w:right w:val="single" w:sz="4" w:space="0" w:color="auto"/>
            </w:tcBorders>
            <w:hideMark/>
          </w:tcPr>
          <w:p w14:paraId="5B95E16E" w14:textId="7DA13874" w:rsidR="00420E45" w:rsidRDefault="00420E45">
            <w:r>
              <w:t>£31,481</w:t>
            </w:r>
            <w:r w:rsidR="0048009F">
              <w:t xml:space="preserve"> per </w:t>
            </w:r>
            <w:r>
              <w:t>acre</w:t>
            </w:r>
          </w:p>
        </w:tc>
      </w:tr>
      <w:tr w:rsidR="008661EF" w14:paraId="4FF3A818" w14:textId="77777777" w:rsidTr="004C5FAD">
        <w:trPr>
          <w:trHeight w:val="1239"/>
        </w:trPr>
        <w:tc>
          <w:tcPr>
            <w:tcW w:w="425" w:type="dxa"/>
            <w:tcBorders>
              <w:top w:val="single" w:sz="4" w:space="0" w:color="auto"/>
              <w:left w:val="single" w:sz="4" w:space="0" w:color="auto"/>
              <w:bottom w:val="single" w:sz="4" w:space="0" w:color="auto"/>
              <w:right w:val="single" w:sz="4" w:space="0" w:color="auto"/>
            </w:tcBorders>
            <w:hideMark/>
          </w:tcPr>
          <w:p w14:paraId="404A1C7A" w14:textId="77777777" w:rsidR="00420E45" w:rsidRDefault="00420E45">
            <w:r>
              <w:t>m</w:t>
            </w:r>
          </w:p>
        </w:tc>
        <w:tc>
          <w:tcPr>
            <w:tcW w:w="1619" w:type="dxa"/>
            <w:tcBorders>
              <w:top w:val="single" w:sz="4" w:space="0" w:color="auto"/>
              <w:left w:val="single" w:sz="4" w:space="0" w:color="auto"/>
              <w:bottom w:val="single" w:sz="4" w:space="0" w:color="auto"/>
              <w:right w:val="single" w:sz="4" w:space="0" w:color="auto"/>
            </w:tcBorders>
            <w:hideMark/>
          </w:tcPr>
          <w:p w14:paraId="76335AD2" w14:textId="77777777" w:rsidR="00420E45" w:rsidRDefault="00420E45">
            <w:r>
              <w:t xml:space="preserve">Land at </w:t>
            </w:r>
            <w:proofErr w:type="spellStart"/>
            <w:r>
              <w:t>Chelford</w:t>
            </w:r>
            <w:proofErr w:type="spellEnd"/>
            <w:r>
              <w:t xml:space="preserve"> Road, Prestbury SK10</w:t>
            </w:r>
          </w:p>
        </w:tc>
        <w:tc>
          <w:tcPr>
            <w:tcW w:w="2863" w:type="dxa"/>
            <w:tcBorders>
              <w:top w:val="single" w:sz="4" w:space="0" w:color="auto"/>
              <w:left w:val="single" w:sz="4" w:space="0" w:color="auto"/>
              <w:bottom w:val="single" w:sz="4" w:space="0" w:color="auto"/>
              <w:right w:val="single" w:sz="4" w:space="0" w:color="auto"/>
            </w:tcBorders>
            <w:hideMark/>
          </w:tcPr>
          <w:p w14:paraId="2B3016B6" w14:textId="101BEE5A" w:rsidR="00420E45" w:rsidRDefault="00420E45">
            <w:r>
              <w:t>8.4 acres</w:t>
            </w:r>
            <w:r w:rsidR="00A14482">
              <w:t xml:space="preserve"> of</w:t>
            </w:r>
            <w:r>
              <w:t xml:space="preserve"> grazing land</w:t>
            </w:r>
          </w:p>
        </w:tc>
        <w:tc>
          <w:tcPr>
            <w:tcW w:w="2065" w:type="dxa"/>
            <w:tcBorders>
              <w:top w:val="single" w:sz="4" w:space="0" w:color="auto"/>
              <w:left w:val="single" w:sz="4" w:space="0" w:color="auto"/>
              <w:bottom w:val="single" w:sz="4" w:space="0" w:color="auto"/>
              <w:right w:val="single" w:sz="4" w:space="0" w:color="auto"/>
            </w:tcBorders>
            <w:hideMark/>
          </w:tcPr>
          <w:p w14:paraId="6EE417A9" w14:textId="77777777" w:rsidR="00420E45" w:rsidRDefault="00420E45">
            <w:r>
              <w:t>Sale proceeding for £170,000</w:t>
            </w:r>
          </w:p>
        </w:tc>
        <w:tc>
          <w:tcPr>
            <w:tcW w:w="1533" w:type="dxa"/>
            <w:tcBorders>
              <w:top w:val="single" w:sz="4" w:space="0" w:color="auto"/>
              <w:left w:val="single" w:sz="4" w:space="0" w:color="auto"/>
              <w:bottom w:val="single" w:sz="4" w:space="0" w:color="auto"/>
              <w:right w:val="single" w:sz="4" w:space="0" w:color="auto"/>
            </w:tcBorders>
            <w:hideMark/>
          </w:tcPr>
          <w:p w14:paraId="44BE3492" w14:textId="26E03509" w:rsidR="00420E45" w:rsidRDefault="00420E45">
            <w:r>
              <w:t>£20,238</w:t>
            </w:r>
            <w:r w:rsidR="00E22F70">
              <w:t xml:space="preserve"> per </w:t>
            </w:r>
            <w:r>
              <w:t>acre</w:t>
            </w:r>
          </w:p>
        </w:tc>
      </w:tr>
    </w:tbl>
    <w:p w14:paraId="51847F81" w14:textId="77777777" w:rsidR="00420E45" w:rsidRDefault="00420E45" w:rsidP="00420E45">
      <w:pPr>
        <w:rPr>
          <w:sz w:val="22"/>
          <w:szCs w:val="22"/>
        </w:rPr>
      </w:pPr>
    </w:p>
    <w:p w14:paraId="601D7838" w14:textId="58B281B4" w:rsidR="003D521A" w:rsidRDefault="00DF44B5" w:rsidP="009A66F3">
      <w:pPr>
        <w:spacing w:after="360" w:line="259" w:lineRule="auto"/>
        <w:ind w:left="720" w:hanging="720"/>
        <w:jc w:val="both"/>
        <w:rPr>
          <w:rFonts w:eastAsia="Calibri"/>
          <w:spacing w:val="0"/>
          <w:szCs w:val="24"/>
        </w:rPr>
      </w:pPr>
      <w:r>
        <w:rPr>
          <w:rFonts w:eastAsia="Calibri"/>
          <w:spacing w:val="0"/>
          <w:szCs w:val="24"/>
        </w:rPr>
        <w:t>64</w:t>
      </w:r>
      <w:r w:rsidR="009A66F3">
        <w:rPr>
          <w:rFonts w:eastAsia="Calibri"/>
          <w:spacing w:val="0"/>
          <w:szCs w:val="24"/>
        </w:rPr>
        <w:t>.</w:t>
      </w:r>
      <w:r w:rsidR="009A66F3">
        <w:rPr>
          <w:rFonts w:eastAsia="Calibri"/>
          <w:spacing w:val="0"/>
          <w:szCs w:val="24"/>
        </w:rPr>
        <w:tab/>
      </w:r>
      <w:r w:rsidR="00492D46">
        <w:rPr>
          <w:rFonts w:eastAsia="Calibri"/>
          <w:spacing w:val="0"/>
          <w:szCs w:val="24"/>
        </w:rPr>
        <w:t>Mr Coulson</w:t>
      </w:r>
      <w:r w:rsidR="00AF1326">
        <w:rPr>
          <w:rFonts w:eastAsia="Calibri"/>
          <w:spacing w:val="0"/>
          <w:szCs w:val="24"/>
        </w:rPr>
        <w:t xml:space="preserve"> </w:t>
      </w:r>
      <w:r w:rsidR="0048009F">
        <w:rPr>
          <w:rFonts w:eastAsia="Calibri"/>
          <w:spacing w:val="0"/>
          <w:szCs w:val="24"/>
        </w:rPr>
        <w:t>had</w:t>
      </w:r>
      <w:r w:rsidR="00A51244">
        <w:rPr>
          <w:rFonts w:eastAsia="Calibri"/>
          <w:spacing w:val="0"/>
          <w:szCs w:val="24"/>
        </w:rPr>
        <w:t xml:space="preserve"> not </w:t>
      </w:r>
      <w:r w:rsidR="008E56E2">
        <w:rPr>
          <w:rFonts w:eastAsia="Calibri"/>
          <w:spacing w:val="0"/>
          <w:szCs w:val="24"/>
        </w:rPr>
        <w:t xml:space="preserve">provided </w:t>
      </w:r>
      <w:r w:rsidR="0048009F">
        <w:rPr>
          <w:rFonts w:eastAsia="Calibri"/>
          <w:spacing w:val="0"/>
          <w:szCs w:val="24"/>
        </w:rPr>
        <w:t>any</w:t>
      </w:r>
      <w:r w:rsidR="008E56E2">
        <w:rPr>
          <w:rFonts w:eastAsia="Calibri"/>
          <w:spacing w:val="0"/>
          <w:szCs w:val="24"/>
        </w:rPr>
        <w:t xml:space="preserve"> </w:t>
      </w:r>
      <w:r w:rsidR="00D66D3E">
        <w:rPr>
          <w:rFonts w:eastAsia="Calibri"/>
          <w:spacing w:val="0"/>
          <w:szCs w:val="24"/>
        </w:rPr>
        <w:t xml:space="preserve">planning appraisals of any of these sites and </w:t>
      </w:r>
      <w:r w:rsidR="00D45F87">
        <w:rPr>
          <w:rFonts w:eastAsia="Calibri"/>
          <w:spacing w:val="0"/>
          <w:szCs w:val="24"/>
        </w:rPr>
        <w:t xml:space="preserve">consequently </w:t>
      </w:r>
      <w:r w:rsidR="00B037CF">
        <w:rPr>
          <w:rFonts w:eastAsia="Calibri"/>
          <w:spacing w:val="0"/>
          <w:szCs w:val="24"/>
        </w:rPr>
        <w:t xml:space="preserve">he </w:t>
      </w:r>
      <w:r w:rsidR="00D66D3E">
        <w:rPr>
          <w:rFonts w:eastAsia="Calibri"/>
          <w:spacing w:val="0"/>
          <w:szCs w:val="24"/>
        </w:rPr>
        <w:t xml:space="preserve">could </w:t>
      </w:r>
      <w:r w:rsidR="00064FF6">
        <w:rPr>
          <w:rFonts w:eastAsia="Calibri"/>
          <w:spacing w:val="0"/>
          <w:szCs w:val="24"/>
        </w:rPr>
        <w:t xml:space="preserve">not </w:t>
      </w:r>
      <w:r w:rsidR="00DE24BE">
        <w:rPr>
          <w:rFonts w:eastAsia="Calibri"/>
          <w:spacing w:val="0"/>
          <w:szCs w:val="24"/>
        </w:rPr>
        <w:t xml:space="preserve">offer </w:t>
      </w:r>
      <w:r w:rsidR="00064FF6">
        <w:rPr>
          <w:rFonts w:eastAsia="Calibri"/>
          <w:spacing w:val="0"/>
          <w:szCs w:val="24"/>
        </w:rPr>
        <w:t>any</w:t>
      </w:r>
      <w:r w:rsidR="00DE24BE">
        <w:rPr>
          <w:rFonts w:eastAsia="Calibri"/>
          <w:spacing w:val="0"/>
          <w:szCs w:val="24"/>
        </w:rPr>
        <w:t xml:space="preserve"> insight into how each of them compared </w:t>
      </w:r>
      <w:r w:rsidR="003D521A">
        <w:rPr>
          <w:rFonts w:eastAsia="Calibri"/>
          <w:spacing w:val="0"/>
          <w:szCs w:val="24"/>
        </w:rPr>
        <w:t xml:space="preserve">to the grazing land </w:t>
      </w:r>
      <w:r w:rsidR="00C75421">
        <w:rPr>
          <w:rFonts w:eastAsia="Calibri"/>
          <w:spacing w:val="0"/>
          <w:szCs w:val="24"/>
        </w:rPr>
        <w:t xml:space="preserve">in terms of </w:t>
      </w:r>
      <w:r w:rsidR="00D45F87">
        <w:rPr>
          <w:rFonts w:eastAsia="Calibri"/>
          <w:spacing w:val="0"/>
          <w:szCs w:val="24"/>
        </w:rPr>
        <w:t>their</w:t>
      </w:r>
      <w:r w:rsidR="00C75421">
        <w:rPr>
          <w:rFonts w:eastAsia="Calibri"/>
          <w:spacing w:val="0"/>
          <w:szCs w:val="24"/>
        </w:rPr>
        <w:t xml:space="preserve"> perform</w:t>
      </w:r>
      <w:r w:rsidR="00D45F87">
        <w:rPr>
          <w:rFonts w:eastAsia="Calibri"/>
          <w:spacing w:val="0"/>
          <w:szCs w:val="24"/>
        </w:rPr>
        <w:t>ance</w:t>
      </w:r>
      <w:r w:rsidR="00C75421">
        <w:rPr>
          <w:rFonts w:eastAsia="Calibri"/>
          <w:spacing w:val="0"/>
          <w:szCs w:val="24"/>
        </w:rPr>
        <w:t xml:space="preserve"> against the </w:t>
      </w:r>
      <w:r w:rsidR="003016C8">
        <w:rPr>
          <w:rFonts w:eastAsia="Calibri"/>
          <w:spacing w:val="0"/>
          <w:szCs w:val="24"/>
        </w:rPr>
        <w:t>g</w:t>
      </w:r>
      <w:r w:rsidR="00C75421">
        <w:rPr>
          <w:rFonts w:eastAsia="Calibri"/>
          <w:spacing w:val="0"/>
          <w:szCs w:val="24"/>
        </w:rPr>
        <w:t xml:space="preserve">reen </w:t>
      </w:r>
      <w:r w:rsidR="003016C8">
        <w:rPr>
          <w:rFonts w:eastAsia="Calibri"/>
          <w:spacing w:val="0"/>
          <w:szCs w:val="24"/>
        </w:rPr>
        <w:t>b</w:t>
      </w:r>
      <w:r w:rsidR="00C75421">
        <w:rPr>
          <w:rFonts w:eastAsia="Calibri"/>
          <w:spacing w:val="0"/>
          <w:szCs w:val="24"/>
        </w:rPr>
        <w:t>elt p</w:t>
      </w:r>
      <w:r w:rsidR="003D521A">
        <w:rPr>
          <w:rFonts w:eastAsia="Calibri"/>
          <w:spacing w:val="0"/>
          <w:szCs w:val="24"/>
        </w:rPr>
        <w:t>urposes as defined in the NPPF.</w:t>
      </w:r>
      <w:r w:rsidR="006E4B1E">
        <w:rPr>
          <w:rFonts w:eastAsia="Calibri"/>
          <w:spacing w:val="0"/>
          <w:szCs w:val="24"/>
        </w:rPr>
        <w:t xml:space="preserve">   T</w:t>
      </w:r>
      <w:r w:rsidR="005F4837">
        <w:rPr>
          <w:rFonts w:eastAsia="Calibri"/>
          <w:spacing w:val="0"/>
          <w:szCs w:val="24"/>
        </w:rPr>
        <w:t xml:space="preserve">wo of the </w:t>
      </w:r>
      <w:proofErr w:type="spellStart"/>
      <w:r w:rsidR="00B96B47">
        <w:rPr>
          <w:rFonts w:eastAsia="Calibri"/>
          <w:spacing w:val="0"/>
          <w:szCs w:val="24"/>
        </w:rPr>
        <w:t>comparables</w:t>
      </w:r>
      <w:proofErr w:type="spellEnd"/>
      <w:r w:rsidR="00B96B47">
        <w:rPr>
          <w:rFonts w:eastAsia="Calibri"/>
          <w:spacing w:val="0"/>
          <w:szCs w:val="24"/>
        </w:rPr>
        <w:t xml:space="preserve"> </w:t>
      </w:r>
      <w:r w:rsidR="001E3263">
        <w:rPr>
          <w:rFonts w:eastAsia="Calibri"/>
          <w:spacing w:val="0"/>
          <w:szCs w:val="24"/>
        </w:rPr>
        <w:t xml:space="preserve">are not open market transactions but </w:t>
      </w:r>
      <w:r w:rsidR="00B96B47">
        <w:rPr>
          <w:rFonts w:eastAsia="Calibri"/>
          <w:spacing w:val="0"/>
          <w:szCs w:val="24"/>
        </w:rPr>
        <w:t>relate</w:t>
      </w:r>
      <w:r w:rsidR="005F4837">
        <w:rPr>
          <w:rFonts w:eastAsia="Calibri"/>
          <w:spacing w:val="0"/>
          <w:szCs w:val="24"/>
        </w:rPr>
        <w:t xml:space="preserve"> to compensation cases agreed with the </w:t>
      </w:r>
      <w:r w:rsidR="00D20541">
        <w:rPr>
          <w:rFonts w:eastAsia="Calibri"/>
          <w:spacing w:val="0"/>
          <w:szCs w:val="24"/>
        </w:rPr>
        <w:t>a</w:t>
      </w:r>
      <w:r w:rsidR="005D539A">
        <w:rPr>
          <w:rFonts w:eastAsia="Calibri"/>
          <w:spacing w:val="0"/>
          <w:szCs w:val="24"/>
        </w:rPr>
        <w:t xml:space="preserve">cquiring </w:t>
      </w:r>
      <w:r w:rsidR="00D20541">
        <w:rPr>
          <w:rFonts w:eastAsia="Calibri"/>
          <w:spacing w:val="0"/>
          <w:szCs w:val="24"/>
        </w:rPr>
        <w:t>a</w:t>
      </w:r>
      <w:r w:rsidR="005D539A">
        <w:rPr>
          <w:rFonts w:eastAsia="Calibri"/>
          <w:spacing w:val="0"/>
          <w:szCs w:val="24"/>
        </w:rPr>
        <w:t>uthority and another has yet to complete</w:t>
      </w:r>
      <w:r w:rsidR="00594055">
        <w:rPr>
          <w:rFonts w:eastAsia="Calibri"/>
          <w:spacing w:val="0"/>
          <w:szCs w:val="24"/>
        </w:rPr>
        <w:t xml:space="preserve">.  </w:t>
      </w:r>
      <w:r w:rsidR="0045692E">
        <w:rPr>
          <w:rFonts w:eastAsia="Calibri"/>
          <w:spacing w:val="0"/>
          <w:szCs w:val="24"/>
        </w:rPr>
        <w:t xml:space="preserve">Ten of the </w:t>
      </w:r>
      <w:r w:rsidR="00594055">
        <w:rPr>
          <w:rFonts w:eastAsia="Calibri"/>
          <w:spacing w:val="0"/>
          <w:szCs w:val="24"/>
        </w:rPr>
        <w:t xml:space="preserve">transactions took place after the </w:t>
      </w:r>
      <w:r w:rsidR="00DB2030">
        <w:rPr>
          <w:rFonts w:eastAsia="Calibri"/>
          <w:spacing w:val="0"/>
          <w:szCs w:val="24"/>
        </w:rPr>
        <w:t>v</w:t>
      </w:r>
      <w:r w:rsidR="00594055">
        <w:rPr>
          <w:rFonts w:eastAsia="Calibri"/>
          <w:spacing w:val="0"/>
          <w:szCs w:val="24"/>
        </w:rPr>
        <w:t xml:space="preserve">aluation </w:t>
      </w:r>
      <w:r w:rsidR="00DB2030">
        <w:rPr>
          <w:rFonts w:eastAsia="Calibri"/>
          <w:spacing w:val="0"/>
          <w:szCs w:val="24"/>
        </w:rPr>
        <w:t>d</w:t>
      </w:r>
      <w:r w:rsidR="00594055">
        <w:rPr>
          <w:rFonts w:eastAsia="Calibri"/>
          <w:spacing w:val="0"/>
          <w:szCs w:val="24"/>
        </w:rPr>
        <w:t>ate</w:t>
      </w:r>
      <w:r w:rsidR="00186F88">
        <w:rPr>
          <w:rFonts w:eastAsia="Calibri"/>
          <w:spacing w:val="0"/>
          <w:szCs w:val="24"/>
        </w:rPr>
        <w:t>, in one case six years later</w:t>
      </w:r>
      <w:r w:rsidR="00594055">
        <w:rPr>
          <w:rFonts w:eastAsia="Calibri"/>
          <w:spacing w:val="0"/>
          <w:szCs w:val="24"/>
        </w:rPr>
        <w:t>.</w:t>
      </w:r>
      <w:r w:rsidR="006E7055">
        <w:rPr>
          <w:rFonts w:eastAsia="Calibri"/>
          <w:spacing w:val="0"/>
          <w:szCs w:val="24"/>
        </w:rPr>
        <w:t xml:space="preserve">  The land at Windmill Lane, Macclesfield </w:t>
      </w:r>
      <w:r w:rsidR="00C5271F">
        <w:rPr>
          <w:rFonts w:eastAsia="Calibri"/>
          <w:spacing w:val="0"/>
          <w:szCs w:val="24"/>
        </w:rPr>
        <w:t xml:space="preserve">included a building with planning consent </w:t>
      </w:r>
      <w:r w:rsidR="00320DB8">
        <w:rPr>
          <w:rFonts w:eastAsia="Calibri"/>
          <w:spacing w:val="0"/>
          <w:szCs w:val="24"/>
        </w:rPr>
        <w:t>for conversion to an office/teaching facility</w:t>
      </w:r>
      <w:r w:rsidR="00322416">
        <w:rPr>
          <w:rFonts w:eastAsia="Calibri"/>
          <w:spacing w:val="0"/>
          <w:szCs w:val="24"/>
        </w:rPr>
        <w:t>, an all-weather area and a feed store.</w:t>
      </w:r>
      <w:r w:rsidR="005153AE">
        <w:rPr>
          <w:rFonts w:eastAsia="Calibri"/>
          <w:spacing w:val="0"/>
          <w:szCs w:val="24"/>
        </w:rPr>
        <w:t xml:space="preserve">   Mr Coulson assert</w:t>
      </w:r>
      <w:r w:rsidR="00186F88">
        <w:rPr>
          <w:rFonts w:eastAsia="Calibri"/>
          <w:spacing w:val="0"/>
          <w:szCs w:val="24"/>
        </w:rPr>
        <w:t>ed</w:t>
      </w:r>
      <w:r w:rsidR="005153AE">
        <w:rPr>
          <w:rFonts w:eastAsia="Calibri"/>
          <w:spacing w:val="0"/>
          <w:szCs w:val="24"/>
        </w:rPr>
        <w:t xml:space="preserve"> that a comparison of the Council’s purchase of </w:t>
      </w:r>
      <w:proofErr w:type="spellStart"/>
      <w:r w:rsidR="005153AE">
        <w:rPr>
          <w:rFonts w:eastAsia="Calibri"/>
          <w:spacing w:val="0"/>
          <w:szCs w:val="24"/>
        </w:rPr>
        <w:t>Moorend</w:t>
      </w:r>
      <w:proofErr w:type="spellEnd"/>
      <w:r w:rsidR="005153AE">
        <w:rPr>
          <w:rFonts w:eastAsia="Calibri"/>
          <w:spacing w:val="0"/>
          <w:szCs w:val="24"/>
        </w:rPr>
        <w:t xml:space="preserve"> Golf Course </w:t>
      </w:r>
      <w:r w:rsidR="005153AE">
        <w:rPr>
          <w:rFonts w:eastAsia="Calibri"/>
          <w:spacing w:val="0"/>
          <w:szCs w:val="24"/>
        </w:rPr>
        <w:lastRenderedPageBreak/>
        <w:t xml:space="preserve">and the Windmill Lane land </w:t>
      </w:r>
      <w:r w:rsidR="00671D92">
        <w:rPr>
          <w:rFonts w:eastAsia="Calibri"/>
          <w:spacing w:val="0"/>
          <w:szCs w:val="24"/>
        </w:rPr>
        <w:t>show</w:t>
      </w:r>
      <w:r w:rsidR="00186F88">
        <w:rPr>
          <w:rFonts w:eastAsia="Calibri"/>
          <w:spacing w:val="0"/>
          <w:szCs w:val="24"/>
        </w:rPr>
        <w:t>ed</w:t>
      </w:r>
      <w:r w:rsidR="00671D92">
        <w:rPr>
          <w:rFonts w:eastAsia="Calibri"/>
          <w:spacing w:val="0"/>
          <w:szCs w:val="24"/>
        </w:rPr>
        <w:t xml:space="preserve"> that values have not altered greatly for the period </w:t>
      </w:r>
      <w:r w:rsidR="00685DE0">
        <w:rPr>
          <w:rFonts w:eastAsia="Calibri"/>
          <w:spacing w:val="0"/>
          <w:szCs w:val="24"/>
        </w:rPr>
        <w:t>from the Valuation Date until very recently.</w:t>
      </w:r>
    </w:p>
    <w:p w14:paraId="079D7C79" w14:textId="0AA77422" w:rsidR="003A11C8" w:rsidRPr="003A11C8" w:rsidRDefault="00DF44B5" w:rsidP="009A66F3">
      <w:pPr>
        <w:spacing w:after="360" w:line="259" w:lineRule="auto"/>
        <w:ind w:left="720" w:hanging="720"/>
        <w:jc w:val="both"/>
        <w:rPr>
          <w:rFonts w:eastAsia="Calibri"/>
          <w:spacing w:val="0"/>
          <w:szCs w:val="24"/>
        </w:rPr>
      </w:pPr>
      <w:r>
        <w:rPr>
          <w:rFonts w:eastAsia="Calibri"/>
          <w:spacing w:val="0"/>
          <w:szCs w:val="24"/>
        </w:rPr>
        <w:t>65</w:t>
      </w:r>
      <w:r w:rsidR="009A66F3">
        <w:rPr>
          <w:rFonts w:eastAsia="Calibri"/>
          <w:spacing w:val="0"/>
          <w:szCs w:val="24"/>
        </w:rPr>
        <w:t>.</w:t>
      </w:r>
      <w:r w:rsidR="009A66F3">
        <w:rPr>
          <w:rFonts w:eastAsia="Calibri"/>
          <w:spacing w:val="0"/>
          <w:szCs w:val="24"/>
        </w:rPr>
        <w:tab/>
      </w:r>
      <w:r w:rsidR="003A11C8" w:rsidRPr="003A11C8">
        <w:rPr>
          <w:rFonts w:eastAsia="Calibri"/>
          <w:spacing w:val="0"/>
          <w:szCs w:val="24"/>
        </w:rPr>
        <w:t>Mr Co</w:t>
      </w:r>
      <w:r w:rsidR="00F86203">
        <w:rPr>
          <w:rFonts w:eastAsia="Calibri"/>
          <w:spacing w:val="0"/>
          <w:szCs w:val="24"/>
        </w:rPr>
        <w:t>u</w:t>
      </w:r>
      <w:r w:rsidR="003A11C8" w:rsidRPr="003A11C8">
        <w:rPr>
          <w:rFonts w:eastAsia="Calibri"/>
          <w:spacing w:val="0"/>
          <w:szCs w:val="24"/>
        </w:rPr>
        <w:t>lson</w:t>
      </w:r>
      <w:r w:rsidR="007D5669">
        <w:rPr>
          <w:rFonts w:eastAsia="Calibri"/>
          <w:spacing w:val="0"/>
          <w:szCs w:val="24"/>
        </w:rPr>
        <w:t xml:space="preserve"> considered that </w:t>
      </w:r>
      <w:r w:rsidR="003A11C8" w:rsidRPr="003A11C8">
        <w:rPr>
          <w:rFonts w:eastAsia="Calibri"/>
          <w:spacing w:val="0"/>
          <w:szCs w:val="24"/>
        </w:rPr>
        <w:t xml:space="preserve">this type of land with main </w:t>
      </w:r>
      <w:r w:rsidR="00EC4904">
        <w:rPr>
          <w:rFonts w:eastAsia="Calibri"/>
          <w:spacing w:val="0"/>
          <w:szCs w:val="24"/>
        </w:rPr>
        <w:t>road</w:t>
      </w:r>
      <w:r w:rsidR="003A11C8" w:rsidRPr="003A11C8">
        <w:rPr>
          <w:rFonts w:eastAsia="Calibri"/>
          <w:spacing w:val="0"/>
          <w:szCs w:val="24"/>
        </w:rPr>
        <w:t xml:space="preserve"> access would have sold at a similar level to the </w:t>
      </w:r>
      <w:proofErr w:type="spellStart"/>
      <w:r w:rsidR="003A11C8" w:rsidRPr="003A11C8">
        <w:rPr>
          <w:rFonts w:eastAsia="Calibri"/>
          <w:spacing w:val="0"/>
          <w:szCs w:val="24"/>
        </w:rPr>
        <w:t>comparables</w:t>
      </w:r>
      <w:proofErr w:type="spellEnd"/>
      <w:r w:rsidR="003A11C8" w:rsidRPr="003A11C8">
        <w:rPr>
          <w:rFonts w:eastAsia="Calibri"/>
          <w:spacing w:val="0"/>
          <w:szCs w:val="24"/>
        </w:rPr>
        <w:t xml:space="preserve"> set out above and </w:t>
      </w:r>
      <w:r w:rsidR="00D479D9">
        <w:rPr>
          <w:rFonts w:eastAsia="Calibri"/>
          <w:spacing w:val="0"/>
          <w:szCs w:val="24"/>
        </w:rPr>
        <w:t xml:space="preserve">he </w:t>
      </w:r>
      <w:r w:rsidR="003A11C8" w:rsidRPr="003A11C8">
        <w:rPr>
          <w:rFonts w:eastAsia="Calibri"/>
          <w:spacing w:val="0"/>
          <w:szCs w:val="24"/>
        </w:rPr>
        <w:t>assesse</w:t>
      </w:r>
      <w:r w:rsidR="00147EA9">
        <w:rPr>
          <w:rFonts w:eastAsia="Calibri"/>
          <w:spacing w:val="0"/>
          <w:szCs w:val="24"/>
        </w:rPr>
        <w:t>d</w:t>
      </w:r>
      <w:r w:rsidR="003A11C8" w:rsidRPr="003A11C8">
        <w:rPr>
          <w:rFonts w:eastAsia="Calibri"/>
          <w:spacing w:val="0"/>
          <w:szCs w:val="24"/>
        </w:rPr>
        <w:t xml:space="preserve"> the market value at £38,697 per acre.</w:t>
      </w:r>
      <w:r w:rsidR="00545B9A">
        <w:rPr>
          <w:rFonts w:eastAsia="Calibri"/>
          <w:spacing w:val="0"/>
          <w:szCs w:val="24"/>
        </w:rPr>
        <w:t xml:space="preserve">  </w:t>
      </w:r>
      <w:r w:rsidR="009C2198">
        <w:rPr>
          <w:rFonts w:eastAsia="Calibri"/>
          <w:spacing w:val="0"/>
          <w:szCs w:val="24"/>
        </w:rPr>
        <w:t xml:space="preserve"> In cross-examination he </w:t>
      </w:r>
      <w:r w:rsidR="00484026">
        <w:rPr>
          <w:rFonts w:eastAsia="Calibri"/>
          <w:spacing w:val="0"/>
          <w:szCs w:val="24"/>
        </w:rPr>
        <w:t xml:space="preserve">confirmed that the value adopted had been based on the sale at Towers Road, Poynton and that </w:t>
      </w:r>
      <w:r w:rsidR="00D465CE">
        <w:rPr>
          <w:rFonts w:eastAsia="Calibri"/>
          <w:spacing w:val="0"/>
          <w:szCs w:val="24"/>
        </w:rPr>
        <w:t xml:space="preserve">he had meant to use </w:t>
      </w:r>
      <w:r w:rsidR="005B60A1">
        <w:rPr>
          <w:rFonts w:eastAsia="Calibri"/>
          <w:spacing w:val="0"/>
          <w:szCs w:val="24"/>
        </w:rPr>
        <w:t>a figure of £38,897</w:t>
      </w:r>
      <w:r w:rsidR="007F12F2">
        <w:rPr>
          <w:rFonts w:eastAsia="Calibri"/>
          <w:spacing w:val="0"/>
          <w:szCs w:val="24"/>
        </w:rPr>
        <w:t xml:space="preserve"> </w:t>
      </w:r>
      <w:r w:rsidR="00C15A9E">
        <w:rPr>
          <w:rFonts w:eastAsia="Calibri"/>
          <w:spacing w:val="0"/>
          <w:szCs w:val="24"/>
        </w:rPr>
        <w:t>which was his analysis of the transaction</w:t>
      </w:r>
      <w:r w:rsidR="0021205D">
        <w:rPr>
          <w:rFonts w:eastAsia="Calibri"/>
          <w:spacing w:val="0"/>
          <w:szCs w:val="24"/>
        </w:rPr>
        <w:t>.</w:t>
      </w:r>
      <w:r w:rsidR="00874297">
        <w:rPr>
          <w:rFonts w:eastAsia="Calibri"/>
          <w:spacing w:val="0"/>
          <w:szCs w:val="24"/>
        </w:rPr>
        <w:t xml:space="preserve">  He also confirmed that </w:t>
      </w:r>
      <w:r w:rsidR="00CC659B">
        <w:rPr>
          <w:rFonts w:eastAsia="Calibri"/>
          <w:spacing w:val="0"/>
          <w:szCs w:val="24"/>
        </w:rPr>
        <w:t>the successful bidder at the auction</w:t>
      </w:r>
      <w:r w:rsidR="00791CBF">
        <w:rPr>
          <w:rFonts w:eastAsia="Calibri"/>
          <w:spacing w:val="0"/>
          <w:szCs w:val="24"/>
        </w:rPr>
        <w:t xml:space="preserve"> was the</w:t>
      </w:r>
      <w:r w:rsidR="00EF0B8F">
        <w:rPr>
          <w:rFonts w:eastAsia="Calibri"/>
          <w:spacing w:val="0"/>
          <w:szCs w:val="24"/>
        </w:rPr>
        <w:t xml:space="preserve"> co</w:t>
      </w:r>
      <w:r w:rsidR="006E377E">
        <w:rPr>
          <w:rFonts w:eastAsia="Calibri"/>
          <w:spacing w:val="0"/>
          <w:szCs w:val="24"/>
        </w:rPr>
        <w:t>-</w:t>
      </w:r>
      <w:r w:rsidR="00791CBF">
        <w:rPr>
          <w:rFonts w:eastAsia="Calibri"/>
          <w:spacing w:val="0"/>
          <w:szCs w:val="24"/>
        </w:rPr>
        <w:t xml:space="preserve">owner </w:t>
      </w:r>
      <w:r w:rsidR="006E377E">
        <w:rPr>
          <w:rFonts w:eastAsia="Calibri"/>
          <w:spacing w:val="0"/>
          <w:szCs w:val="24"/>
        </w:rPr>
        <w:t xml:space="preserve">of the site and therefore had a particular </w:t>
      </w:r>
      <w:r w:rsidR="00AB0E93">
        <w:rPr>
          <w:rFonts w:eastAsia="Calibri"/>
          <w:spacing w:val="0"/>
          <w:szCs w:val="24"/>
        </w:rPr>
        <w:t>concern</w:t>
      </w:r>
      <w:r w:rsidR="006E377E">
        <w:rPr>
          <w:rFonts w:eastAsia="Calibri"/>
          <w:spacing w:val="0"/>
          <w:szCs w:val="24"/>
        </w:rPr>
        <w:t xml:space="preserve"> in a</w:t>
      </w:r>
      <w:r w:rsidR="00EA7C1E">
        <w:rPr>
          <w:rFonts w:eastAsia="Calibri"/>
          <w:spacing w:val="0"/>
          <w:szCs w:val="24"/>
        </w:rPr>
        <w:t>cquiring the seller’s interest</w:t>
      </w:r>
      <w:r w:rsidR="00A57187">
        <w:rPr>
          <w:rFonts w:eastAsia="Calibri"/>
          <w:spacing w:val="0"/>
          <w:szCs w:val="24"/>
        </w:rPr>
        <w:t xml:space="preserve">.   </w:t>
      </w:r>
      <w:r w:rsidR="004A6EC9">
        <w:rPr>
          <w:rFonts w:eastAsia="Calibri"/>
          <w:spacing w:val="0"/>
          <w:szCs w:val="24"/>
        </w:rPr>
        <w:t xml:space="preserve">Two adjacent plots </w:t>
      </w:r>
      <w:r w:rsidR="00677354">
        <w:rPr>
          <w:rFonts w:eastAsia="Calibri"/>
          <w:spacing w:val="0"/>
          <w:szCs w:val="24"/>
        </w:rPr>
        <w:t xml:space="preserve">sold at the same auction for a fraction of the price achieved on the </w:t>
      </w:r>
      <w:r w:rsidR="005E207C">
        <w:rPr>
          <w:rFonts w:eastAsia="Calibri"/>
          <w:spacing w:val="0"/>
          <w:szCs w:val="24"/>
        </w:rPr>
        <w:t xml:space="preserve">site in question.  </w:t>
      </w:r>
      <w:r w:rsidR="00A57187">
        <w:rPr>
          <w:rFonts w:eastAsia="Calibri"/>
          <w:spacing w:val="0"/>
          <w:szCs w:val="24"/>
        </w:rPr>
        <w:t xml:space="preserve">Mr Coulson also </w:t>
      </w:r>
      <w:r w:rsidR="00471DD4">
        <w:rPr>
          <w:rFonts w:eastAsia="Calibri"/>
          <w:spacing w:val="0"/>
          <w:szCs w:val="24"/>
        </w:rPr>
        <w:t>said that he had taken an average of the other transactions and</w:t>
      </w:r>
      <w:r w:rsidR="000900B2">
        <w:rPr>
          <w:rFonts w:eastAsia="Calibri"/>
          <w:spacing w:val="0"/>
          <w:szCs w:val="24"/>
        </w:rPr>
        <w:t xml:space="preserve"> concluded that this approach </w:t>
      </w:r>
      <w:r w:rsidR="004C47C9">
        <w:rPr>
          <w:rFonts w:eastAsia="Calibri"/>
          <w:spacing w:val="0"/>
          <w:szCs w:val="24"/>
        </w:rPr>
        <w:t>compared reasonably to</w:t>
      </w:r>
      <w:r w:rsidR="000900B2">
        <w:rPr>
          <w:rFonts w:eastAsia="Calibri"/>
          <w:spacing w:val="0"/>
          <w:szCs w:val="24"/>
        </w:rPr>
        <w:t xml:space="preserve"> the </w:t>
      </w:r>
      <w:r w:rsidR="00CA2F11">
        <w:rPr>
          <w:rFonts w:eastAsia="Calibri"/>
          <w:spacing w:val="0"/>
          <w:szCs w:val="24"/>
        </w:rPr>
        <w:t>price achieved</w:t>
      </w:r>
      <w:r w:rsidR="004C47C9">
        <w:rPr>
          <w:rFonts w:eastAsia="Calibri"/>
          <w:spacing w:val="0"/>
          <w:szCs w:val="24"/>
        </w:rPr>
        <w:t xml:space="preserve"> on the Towers Road land.   He undertook a further check </w:t>
      </w:r>
      <w:r w:rsidR="00147EA9">
        <w:rPr>
          <w:rFonts w:eastAsia="Calibri"/>
          <w:spacing w:val="0"/>
          <w:szCs w:val="24"/>
        </w:rPr>
        <w:t>by observing that his</w:t>
      </w:r>
      <w:r w:rsidR="003B7360">
        <w:rPr>
          <w:rFonts w:eastAsia="Calibri"/>
          <w:spacing w:val="0"/>
          <w:szCs w:val="24"/>
        </w:rPr>
        <w:t xml:space="preserve"> adopted value </w:t>
      </w:r>
      <w:r w:rsidR="000C273C">
        <w:rPr>
          <w:rFonts w:eastAsia="Calibri"/>
          <w:spacing w:val="0"/>
          <w:szCs w:val="24"/>
        </w:rPr>
        <w:t xml:space="preserve">equated to about 2% of the </w:t>
      </w:r>
      <w:r w:rsidR="00A82FA9">
        <w:rPr>
          <w:rFonts w:eastAsia="Calibri"/>
          <w:spacing w:val="0"/>
          <w:szCs w:val="24"/>
        </w:rPr>
        <w:t xml:space="preserve">site with consent for development.   </w:t>
      </w:r>
      <w:r w:rsidR="005F4A95">
        <w:rPr>
          <w:rFonts w:eastAsia="Calibri"/>
          <w:spacing w:val="0"/>
          <w:szCs w:val="24"/>
        </w:rPr>
        <w:t xml:space="preserve">In support of this approach he </w:t>
      </w:r>
      <w:r w:rsidR="00D86E63">
        <w:rPr>
          <w:rFonts w:eastAsia="Calibri"/>
          <w:spacing w:val="0"/>
          <w:szCs w:val="24"/>
        </w:rPr>
        <w:t xml:space="preserve">provided details of two land sales in Poynton which dated from 2019.  </w:t>
      </w:r>
      <w:r w:rsidR="00A82FA9">
        <w:rPr>
          <w:rFonts w:eastAsia="Calibri"/>
          <w:spacing w:val="0"/>
          <w:szCs w:val="24"/>
        </w:rPr>
        <w:t>He regard</w:t>
      </w:r>
      <w:r w:rsidR="00C60C9A">
        <w:rPr>
          <w:rFonts w:eastAsia="Calibri"/>
          <w:spacing w:val="0"/>
          <w:szCs w:val="24"/>
        </w:rPr>
        <w:t>ed</w:t>
      </w:r>
      <w:r w:rsidR="00A82FA9">
        <w:rPr>
          <w:rFonts w:eastAsia="Calibri"/>
          <w:spacing w:val="0"/>
          <w:szCs w:val="24"/>
        </w:rPr>
        <w:t xml:space="preserve"> </w:t>
      </w:r>
      <w:r w:rsidR="003F13CD">
        <w:rPr>
          <w:rFonts w:eastAsia="Calibri"/>
          <w:spacing w:val="0"/>
          <w:szCs w:val="24"/>
        </w:rPr>
        <w:t>th</w:t>
      </w:r>
      <w:r w:rsidR="00A17A80">
        <w:rPr>
          <w:rFonts w:eastAsia="Calibri"/>
          <w:spacing w:val="0"/>
          <w:szCs w:val="24"/>
        </w:rPr>
        <w:t>e</w:t>
      </w:r>
      <w:r w:rsidR="003F13CD">
        <w:rPr>
          <w:rFonts w:eastAsia="Calibri"/>
          <w:spacing w:val="0"/>
          <w:szCs w:val="24"/>
        </w:rPr>
        <w:t xml:space="preserve"> numerical </w:t>
      </w:r>
      <w:r w:rsidR="00AB7C58">
        <w:rPr>
          <w:rFonts w:eastAsia="Calibri"/>
          <w:spacing w:val="0"/>
          <w:szCs w:val="24"/>
        </w:rPr>
        <w:t xml:space="preserve">relationship as </w:t>
      </w:r>
      <w:r w:rsidR="00336C48">
        <w:rPr>
          <w:rFonts w:eastAsia="Calibri"/>
          <w:spacing w:val="0"/>
          <w:szCs w:val="24"/>
        </w:rPr>
        <w:t xml:space="preserve">informative </w:t>
      </w:r>
      <w:r w:rsidR="00B8406C">
        <w:rPr>
          <w:rFonts w:eastAsia="Calibri"/>
          <w:spacing w:val="0"/>
          <w:szCs w:val="24"/>
        </w:rPr>
        <w:t xml:space="preserve">and </w:t>
      </w:r>
      <w:r w:rsidR="00A17A80">
        <w:rPr>
          <w:rFonts w:eastAsia="Calibri"/>
          <w:spacing w:val="0"/>
          <w:szCs w:val="24"/>
        </w:rPr>
        <w:t xml:space="preserve">further </w:t>
      </w:r>
      <w:r w:rsidR="00195B8F">
        <w:rPr>
          <w:rFonts w:eastAsia="Calibri"/>
          <w:spacing w:val="0"/>
          <w:szCs w:val="24"/>
        </w:rPr>
        <w:t xml:space="preserve">considered that </w:t>
      </w:r>
      <w:r w:rsidR="009D3AD7">
        <w:rPr>
          <w:rFonts w:eastAsia="Calibri"/>
          <w:spacing w:val="0"/>
          <w:szCs w:val="24"/>
        </w:rPr>
        <w:t xml:space="preserve">prospective purchasers would be prepared to pay </w:t>
      </w:r>
      <w:r w:rsidR="00BC2F2C">
        <w:rPr>
          <w:rFonts w:eastAsia="Calibri"/>
          <w:spacing w:val="0"/>
          <w:szCs w:val="24"/>
        </w:rPr>
        <w:t>3.5 times the agricultural value of the land</w:t>
      </w:r>
      <w:r w:rsidR="00015FDC">
        <w:rPr>
          <w:rFonts w:eastAsia="Calibri"/>
          <w:spacing w:val="0"/>
          <w:szCs w:val="24"/>
        </w:rPr>
        <w:t xml:space="preserve"> because of the site’s pro</w:t>
      </w:r>
      <w:r w:rsidR="0036181D">
        <w:rPr>
          <w:rFonts w:eastAsia="Calibri"/>
          <w:spacing w:val="0"/>
          <w:szCs w:val="24"/>
        </w:rPr>
        <w:t xml:space="preserve">ximity to residential development and the level of risk involved was </w:t>
      </w:r>
      <w:r w:rsidR="0058364B">
        <w:rPr>
          <w:rFonts w:eastAsia="Calibri"/>
          <w:spacing w:val="0"/>
          <w:szCs w:val="24"/>
        </w:rPr>
        <w:t xml:space="preserve">low.   The fact that no approaches from developers had been received was </w:t>
      </w:r>
      <w:r w:rsidR="00255C02">
        <w:rPr>
          <w:rFonts w:eastAsia="Calibri"/>
          <w:spacing w:val="0"/>
          <w:szCs w:val="24"/>
        </w:rPr>
        <w:t xml:space="preserve">he said, </w:t>
      </w:r>
      <w:r w:rsidR="0058364B">
        <w:rPr>
          <w:rFonts w:eastAsia="Calibri"/>
          <w:spacing w:val="0"/>
          <w:szCs w:val="24"/>
        </w:rPr>
        <w:t xml:space="preserve">entirely a </w:t>
      </w:r>
      <w:r w:rsidR="0027731A">
        <w:rPr>
          <w:rFonts w:eastAsia="Calibri"/>
          <w:spacing w:val="0"/>
          <w:szCs w:val="24"/>
        </w:rPr>
        <w:t xml:space="preserve">result </w:t>
      </w:r>
      <w:r w:rsidR="0058364B">
        <w:rPr>
          <w:rFonts w:eastAsia="Calibri"/>
          <w:spacing w:val="0"/>
          <w:szCs w:val="24"/>
        </w:rPr>
        <w:t xml:space="preserve">of the </w:t>
      </w:r>
      <w:r w:rsidR="0027731A">
        <w:rPr>
          <w:rFonts w:eastAsia="Calibri"/>
          <w:spacing w:val="0"/>
          <w:szCs w:val="24"/>
        </w:rPr>
        <w:t>presence of the road scheme</w:t>
      </w:r>
      <w:r w:rsidR="009F32E7">
        <w:rPr>
          <w:rFonts w:eastAsia="Calibri"/>
          <w:spacing w:val="0"/>
          <w:szCs w:val="24"/>
        </w:rPr>
        <w:t>.</w:t>
      </w:r>
    </w:p>
    <w:p w14:paraId="2BE932BC" w14:textId="5E05BD52" w:rsidR="00397878" w:rsidRDefault="00BA1359" w:rsidP="00AA3897">
      <w:pPr>
        <w:pStyle w:val="Normal2"/>
        <w:spacing w:after="360"/>
        <w:ind w:left="720" w:hanging="720"/>
        <w:rPr>
          <w:szCs w:val="24"/>
        </w:rPr>
      </w:pPr>
      <w:r>
        <w:rPr>
          <w:szCs w:val="24"/>
        </w:rPr>
        <w:t>66</w:t>
      </w:r>
      <w:r w:rsidR="009A66F3">
        <w:rPr>
          <w:szCs w:val="24"/>
        </w:rPr>
        <w:t>.</w:t>
      </w:r>
      <w:r w:rsidR="009A66F3">
        <w:rPr>
          <w:szCs w:val="24"/>
        </w:rPr>
        <w:tab/>
      </w:r>
      <w:r w:rsidR="00397878" w:rsidRPr="00397878">
        <w:rPr>
          <w:szCs w:val="24"/>
        </w:rPr>
        <w:t xml:space="preserve">Evidence for the Acquiring Authority was given by Mr </w:t>
      </w:r>
      <w:r w:rsidR="00397878">
        <w:rPr>
          <w:szCs w:val="24"/>
        </w:rPr>
        <w:t xml:space="preserve">Henry Church </w:t>
      </w:r>
      <w:r w:rsidR="00BC77A9">
        <w:rPr>
          <w:szCs w:val="24"/>
        </w:rPr>
        <w:t>MRICS FAAV</w:t>
      </w:r>
      <w:r w:rsidR="008F036A">
        <w:rPr>
          <w:szCs w:val="24"/>
        </w:rPr>
        <w:t xml:space="preserve">, a Senior Director of CBRE based in London.   He </w:t>
      </w:r>
      <w:r w:rsidR="0013369D">
        <w:rPr>
          <w:szCs w:val="24"/>
        </w:rPr>
        <w:t xml:space="preserve">has </w:t>
      </w:r>
      <w:r w:rsidR="00D64AFF">
        <w:rPr>
          <w:szCs w:val="24"/>
        </w:rPr>
        <w:t xml:space="preserve">more than 25 </w:t>
      </w:r>
      <w:r w:rsidR="00CA5F68">
        <w:rPr>
          <w:szCs w:val="24"/>
        </w:rPr>
        <w:t>years’ experience</w:t>
      </w:r>
      <w:r w:rsidR="0013369D">
        <w:rPr>
          <w:szCs w:val="24"/>
        </w:rPr>
        <w:t xml:space="preserve"> in compulsory purchase matters a</w:t>
      </w:r>
      <w:r w:rsidR="00CA3F2F">
        <w:rPr>
          <w:szCs w:val="24"/>
        </w:rPr>
        <w:t xml:space="preserve">nd is an elected board member of the </w:t>
      </w:r>
      <w:r w:rsidR="00CA5F68">
        <w:rPr>
          <w:szCs w:val="24"/>
        </w:rPr>
        <w:t>Compulsory Purchase Association.</w:t>
      </w:r>
    </w:p>
    <w:p w14:paraId="356EA2C6" w14:textId="541D5976" w:rsidR="008B0872" w:rsidRPr="008B0872" w:rsidRDefault="00BA1359" w:rsidP="009A66F3">
      <w:pPr>
        <w:spacing w:after="360" w:line="259" w:lineRule="auto"/>
        <w:ind w:left="720" w:hanging="720"/>
        <w:jc w:val="both"/>
        <w:rPr>
          <w:szCs w:val="24"/>
        </w:rPr>
      </w:pPr>
      <w:r>
        <w:rPr>
          <w:szCs w:val="24"/>
        </w:rPr>
        <w:t>67</w:t>
      </w:r>
      <w:r w:rsidR="009A66F3">
        <w:rPr>
          <w:szCs w:val="24"/>
        </w:rPr>
        <w:t>.</w:t>
      </w:r>
      <w:r w:rsidR="009A66F3">
        <w:rPr>
          <w:szCs w:val="24"/>
        </w:rPr>
        <w:tab/>
      </w:r>
      <w:r w:rsidR="008B0872" w:rsidRPr="008B0872">
        <w:rPr>
          <w:szCs w:val="24"/>
        </w:rPr>
        <w:t xml:space="preserve">Mr Church’s approach to hope value </w:t>
      </w:r>
      <w:r w:rsidR="00CE1049">
        <w:rPr>
          <w:szCs w:val="24"/>
        </w:rPr>
        <w:t>was</w:t>
      </w:r>
      <w:r w:rsidR="008B0872" w:rsidRPr="008B0872">
        <w:rPr>
          <w:szCs w:val="24"/>
        </w:rPr>
        <w:t xml:space="preserve"> based on what he describe</w:t>
      </w:r>
      <w:r w:rsidR="002C29EF">
        <w:rPr>
          <w:szCs w:val="24"/>
        </w:rPr>
        <w:t>d</w:t>
      </w:r>
      <w:r w:rsidR="008B0872" w:rsidRPr="008B0872">
        <w:rPr>
          <w:szCs w:val="24"/>
        </w:rPr>
        <w:t xml:space="preserve"> as an evidence-based analysis. He beg</w:t>
      </w:r>
      <w:r w:rsidR="002C29EF">
        <w:rPr>
          <w:szCs w:val="24"/>
        </w:rPr>
        <w:t>an</w:t>
      </w:r>
      <w:r w:rsidR="008B0872" w:rsidRPr="008B0872">
        <w:rPr>
          <w:szCs w:val="24"/>
        </w:rPr>
        <w:t xml:space="preserve"> by stating that “usually it is an area where, as here, valuers seek to rely on assertion and contention rather than comparable transactions or other verification”.</w:t>
      </w:r>
    </w:p>
    <w:p w14:paraId="70675A85" w14:textId="1FF88ECE" w:rsidR="008B0872" w:rsidRPr="008B0872" w:rsidRDefault="00BA1359" w:rsidP="009A66F3">
      <w:pPr>
        <w:spacing w:after="360" w:line="259" w:lineRule="auto"/>
        <w:ind w:left="720" w:hanging="720"/>
        <w:jc w:val="both"/>
        <w:rPr>
          <w:szCs w:val="24"/>
        </w:rPr>
      </w:pPr>
      <w:r>
        <w:rPr>
          <w:szCs w:val="24"/>
        </w:rPr>
        <w:t>68</w:t>
      </w:r>
      <w:r w:rsidR="009A66F3">
        <w:rPr>
          <w:szCs w:val="24"/>
        </w:rPr>
        <w:t>.</w:t>
      </w:r>
      <w:r w:rsidR="009A66F3">
        <w:rPr>
          <w:szCs w:val="24"/>
        </w:rPr>
        <w:tab/>
      </w:r>
      <w:r w:rsidR="008B0872" w:rsidRPr="008B0872">
        <w:rPr>
          <w:szCs w:val="24"/>
        </w:rPr>
        <w:t>There are a number of reasons he sa</w:t>
      </w:r>
      <w:r w:rsidR="002C29EF">
        <w:rPr>
          <w:szCs w:val="24"/>
        </w:rPr>
        <w:t>id</w:t>
      </w:r>
      <w:r w:rsidR="008B0872" w:rsidRPr="008B0872">
        <w:rPr>
          <w:szCs w:val="24"/>
        </w:rPr>
        <w:t xml:space="preserve"> that underl</w:t>
      </w:r>
      <w:r w:rsidR="00914CB1">
        <w:rPr>
          <w:szCs w:val="24"/>
        </w:rPr>
        <w:t>ie</w:t>
      </w:r>
      <w:r w:rsidR="008B0872" w:rsidRPr="008B0872">
        <w:rPr>
          <w:szCs w:val="24"/>
        </w:rPr>
        <w:t xml:space="preserve"> such an absence of evidence including a lack of sales, the taking of options, the existing use value being higher than the value with an uplift for development potential and simply that there is no hope. </w:t>
      </w:r>
      <w:r w:rsidR="00D06DC3">
        <w:rPr>
          <w:szCs w:val="24"/>
        </w:rPr>
        <w:t xml:space="preserve"> </w:t>
      </w:r>
      <w:r w:rsidR="008B0872" w:rsidRPr="008B0872">
        <w:rPr>
          <w:szCs w:val="24"/>
        </w:rPr>
        <w:t xml:space="preserve">The latter appears to me to be an outcome of </w:t>
      </w:r>
      <w:r w:rsidR="001E3263">
        <w:rPr>
          <w:szCs w:val="24"/>
        </w:rPr>
        <w:t xml:space="preserve">at least two of </w:t>
      </w:r>
      <w:r w:rsidR="008B0872" w:rsidRPr="008B0872">
        <w:rPr>
          <w:szCs w:val="24"/>
        </w:rPr>
        <w:t xml:space="preserve">the previous three reasons rather than </w:t>
      </w:r>
      <w:r w:rsidR="001E3263">
        <w:rPr>
          <w:szCs w:val="24"/>
        </w:rPr>
        <w:t>a</w:t>
      </w:r>
      <w:r w:rsidR="008B0872" w:rsidRPr="008B0872">
        <w:rPr>
          <w:szCs w:val="24"/>
        </w:rPr>
        <w:t xml:space="preserve"> reason in itself.</w:t>
      </w:r>
      <w:r w:rsidR="009379B0">
        <w:rPr>
          <w:szCs w:val="24"/>
        </w:rPr>
        <w:t xml:space="preserve">  </w:t>
      </w:r>
      <w:r w:rsidR="008B0872" w:rsidRPr="008B0872">
        <w:rPr>
          <w:szCs w:val="24"/>
        </w:rPr>
        <w:t xml:space="preserve">He identifies four factors that mitigate against </w:t>
      </w:r>
      <w:r w:rsidR="001E3263">
        <w:rPr>
          <w:szCs w:val="24"/>
        </w:rPr>
        <w:t xml:space="preserve">the existence of </w:t>
      </w:r>
      <w:r w:rsidR="008B0872" w:rsidRPr="008B0872">
        <w:rPr>
          <w:szCs w:val="24"/>
        </w:rPr>
        <w:t xml:space="preserve">hope value. These comprise physical constraints such as </w:t>
      </w:r>
      <w:r w:rsidR="00D326B2">
        <w:rPr>
          <w:szCs w:val="24"/>
        </w:rPr>
        <w:t>topo</w:t>
      </w:r>
      <w:r w:rsidR="008B0872" w:rsidRPr="008B0872">
        <w:rPr>
          <w:szCs w:val="24"/>
        </w:rPr>
        <w:t>graphy, transactional/valuation history, planning/development considerations and a lack of a market for the land.</w:t>
      </w:r>
    </w:p>
    <w:p w14:paraId="4808A34A" w14:textId="76D4F63F" w:rsidR="008B0872" w:rsidRPr="00D326B2" w:rsidRDefault="00BA1359" w:rsidP="00C41D24">
      <w:pPr>
        <w:spacing w:after="360" w:line="259" w:lineRule="auto"/>
        <w:ind w:left="720" w:hanging="720"/>
        <w:jc w:val="both"/>
        <w:rPr>
          <w:szCs w:val="24"/>
        </w:rPr>
      </w:pPr>
      <w:r>
        <w:rPr>
          <w:szCs w:val="24"/>
        </w:rPr>
        <w:t>69</w:t>
      </w:r>
      <w:r w:rsidR="00BA416E">
        <w:rPr>
          <w:szCs w:val="24"/>
        </w:rPr>
        <w:t>.</w:t>
      </w:r>
      <w:r w:rsidR="00C41D24">
        <w:rPr>
          <w:szCs w:val="24"/>
        </w:rPr>
        <w:tab/>
      </w:r>
      <w:r w:rsidR="008B0872" w:rsidRPr="00D326B2">
        <w:rPr>
          <w:szCs w:val="24"/>
        </w:rPr>
        <w:t xml:space="preserve">Mr Church’s opinion </w:t>
      </w:r>
      <w:r w:rsidR="006130F4">
        <w:rPr>
          <w:szCs w:val="24"/>
        </w:rPr>
        <w:t>was</w:t>
      </w:r>
      <w:r w:rsidR="008B0872" w:rsidRPr="00D326B2">
        <w:rPr>
          <w:szCs w:val="24"/>
        </w:rPr>
        <w:t xml:space="preserve"> that </w:t>
      </w:r>
      <w:r w:rsidR="004D1396">
        <w:rPr>
          <w:szCs w:val="24"/>
        </w:rPr>
        <w:t xml:space="preserve">in </w:t>
      </w:r>
      <w:r w:rsidR="008B0872" w:rsidRPr="00D326B2">
        <w:rPr>
          <w:szCs w:val="24"/>
        </w:rPr>
        <w:t>all instances claim</w:t>
      </w:r>
      <w:r w:rsidR="00D918A9">
        <w:rPr>
          <w:szCs w:val="24"/>
        </w:rPr>
        <w:t>s</w:t>
      </w:r>
      <w:r w:rsidR="008B0872" w:rsidRPr="00D326B2">
        <w:rPr>
          <w:szCs w:val="24"/>
        </w:rPr>
        <w:t xml:space="preserve"> </w:t>
      </w:r>
      <w:r w:rsidR="00D918A9">
        <w:rPr>
          <w:szCs w:val="24"/>
        </w:rPr>
        <w:t>of</w:t>
      </w:r>
      <w:r w:rsidR="008B0872" w:rsidRPr="00D326B2">
        <w:rPr>
          <w:szCs w:val="24"/>
        </w:rPr>
        <w:t xml:space="preserve"> hope value should be subjected to a systematic analysis.  </w:t>
      </w:r>
      <w:r w:rsidR="00801859">
        <w:rPr>
          <w:szCs w:val="24"/>
        </w:rPr>
        <w:t>His</w:t>
      </w:r>
      <w:r w:rsidR="008B0872" w:rsidRPr="00D326B2">
        <w:rPr>
          <w:szCs w:val="24"/>
        </w:rPr>
        <w:t xml:space="preserve"> examination of </w:t>
      </w:r>
      <w:r w:rsidR="00FB5DE0">
        <w:rPr>
          <w:szCs w:val="24"/>
        </w:rPr>
        <w:t>m</w:t>
      </w:r>
      <w:r w:rsidR="008B0872" w:rsidRPr="00D326B2">
        <w:rPr>
          <w:szCs w:val="24"/>
        </w:rPr>
        <w:t xml:space="preserve">itigating factors </w:t>
      </w:r>
      <w:r w:rsidR="006130F4">
        <w:rPr>
          <w:szCs w:val="24"/>
        </w:rPr>
        <w:t>was</w:t>
      </w:r>
      <w:r w:rsidR="008B0872" w:rsidRPr="00D326B2">
        <w:rPr>
          <w:szCs w:val="24"/>
        </w:rPr>
        <w:t xml:space="preserve"> limited to just two: planning and a lack of market activity.  In </w:t>
      </w:r>
      <w:r w:rsidR="006C528F">
        <w:rPr>
          <w:szCs w:val="24"/>
        </w:rPr>
        <w:t xml:space="preserve">relation to the former </w:t>
      </w:r>
      <w:r w:rsidR="00363803">
        <w:rPr>
          <w:szCs w:val="24"/>
        </w:rPr>
        <w:t>h</w:t>
      </w:r>
      <w:r w:rsidR="008B0872" w:rsidRPr="00D326B2">
        <w:rPr>
          <w:szCs w:val="24"/>
        </w:rPr>
        <w:t>e dr</w:t>
      </w:r>
      <w:r w:rsidR="006130F4">
        <w:rPr>
          <w:szCs w:val="24"/>
        </w:rPr>
        <w:t>ew</w:t>
      </w:r>
      <w:r w:rsidR="008B0872" w:rsidRPr="00D326B2">
        <w:rPr>
          <w:szCs w:val="24"/>
        </w:rPr>
        <w:t xml:space="preserve"> </w:t>
      </w:r>
      <w:r w:rsidR="00363803">
        <w:rPr>
          <w:szCs w:val="24"/>
        </w:rPr>
        <w:t xml:space="preserve">heavily </w:t>
      </w:r>
      <w:r w:rsidR="008B0872" w:rsidRPr="00D326B2">
        <w:rPr>
          <w:szCs w:val="24"/>
        </w:rPr>
        <w:t xml:space="preserve">on Mr Bolton’s report and his conclusions.  However, his own conclusion is not unequivocal. </w:t>
      </w:r>
      <w:r w:rsidR="00062CBD">
        <w:rPr>
          <w:szCs w:val="24"/>
        </w:rPr>
        <w:t xml:space="preserve"> </w:t>
      </w:r>
      <w:r w:rsidR="0033591D">
        <w:rPr>
          <w:szCs w:val="24"/>
        </w:rPr>
        <w:t xml:space="preserve">He recounts Mr Bolton’s view that </w:t>
      </w:r>
      <w:r w:rsidR="008B0872" w:rsidRPr="00D326B2">
        <w:rPr>
          <w:szCs w:val="24"/>
        </w:rPr>
        <w:t xml:space="preserve">there are a number of steps that have to be gone through </w:t>
      </w:r>
      <w:r w:rsidR="008B0872" w:rsidRPr="00D326B2">
        <w:rPr>
          <w:szCs w:val="24"/>
        </w:rPr>
        <w:lastRenderedPageBreak/>
        <w:t xml:space="preserve">before </w:t>
      </w:r>
      <w:r w:rsidR="00D76F07">
        <w:rPr>
          <w:szCs w:val="24"/>
        </w:rPr>
        <w:t>the land could be re</w:t>
      </w:r>
      <w:r w:rsidR="000519FD">
        <w:rPr>
          <w:szCs w:val="24"/>
        </w:rPr>
        <w:t>m</w:t>
      </w:r>
      <w:r w:rsidR="00D76F07">
        <w:rPr>
          <w:szCs w:val="24"/>
        </w:rPr>
        <w:t xml:space="preserve">oved from the Green Belt and </w:t>
      </w:r>
      <w:r w:rsidR="000519FD">
        <w:rPr>
          <w:szCs w:val="24"/>
        </w:rPr>
        <w:t>each of these</w:t>
      </w:r>
      <w:r w:rsidR="008B0872" w:rsidRPr="00D326B2">
        <w:rPr>
          <w:szCs w:val="24"/>
        </w:rPr>
        <w:t xml:space="preserve"> </w:t>
      </w:r>
      <w:r w:rsidR="000519FD">
        <w:rPr>
          <w:szCs w:val="24"/>
        </w:rPr>
        <w:t>holds</w:t>
      </w:r>
      <w:r w:rsidR="008B0872" w:rsidRPr="00D326B2">
        <w:rPr>
          <w:szCs w:val="24"/>
        </w:rPr>
        <w:t xml:space="preserve"> considerable uncertainty.  Any </w:t>
      </w:r>
      <w:r w:rsidR="00F405ED" w:rsidRPr="00D326B2">
        <w:rPr>
          <w:szCs w:val="24"/>
        </w:rPr>
        <w:t>potential</w:t>
      </w:r>
      <w:r w:rsidR="00F405ED">
        <w:rPr>
          <w:szCs w:val="24"/>
        </w:rPr>
        <w:t xml:space="preserve"> </w:t>
      </w:r>
      <w:r w:rsidR="00F405ED" w:rsidRPr="00D326B2">
        <w:rPr>
          <w:szCs w:val="24"/>
        </w:rPr>
        <w:t>purchaser</w:t>
      </w:r>
      <w:r w:rsidR="00B00CDC">
        <w:rPr>
          <w:szCs w:val="24"/>
        </w:rPr>
        <w:t>, he sa</w:t>
      </w:r>
      <w:r w:rsidR="00770EFF">
        <w:rPr>
          <w:szCs w:val="24"/>
        </w:rPr>
        <w:t>id</w:t>
      </w:r>
      <w:r w:rsidR="00B00CDC">
        <w:rPr>
          <w:szCs w:val="24"/>
        </w:rPr>
        <w:t xml:space="preserve">, </w:t>
      </w:r>
      <w:r w:rsidR="008B0872" w:rsidRPr="00D326B2">
        <w:rPr>
          <w:szCs w:val="24"/>
        </w:rPr>
        <w:t>would have been cognisant of this.</w:t>
      </w:r>
    </w:p>
    <w:p w14:paraId="0E6D3B35" w14:textId="053B8478" w:rsidR="008B0872" w:rsidRPr="00D326B2" w:rsidRDefault="00BA1359" w:rsidP="00C41D24">
      <w:pPr>
        <w:spacing w:after="360" w:line="259" w:lineRule="auto"/>
        <w:ind w:left="720" w:hanging="720"/>
        <w:jc w:val="both"/>
        <w:rPr>
          <w:szCs w:val="24"/>
        </w:rPr>
      </w:pPr>
      <w:r>
        <w:rPr>
          <w:szCs w:val="24"/>
        </w:rPr>
        <w:t>70</w:t>
      </w:r>
      <w:r w:rsidR="00C41D24">
        <w:rPr>
          <w:szCs w:val="24"/>
        </w:rPr>
        <w:t>.</w:t>
      </w:r>
      <w:r w:rsidR="00C41D24">
        <w:rPr>
          <w:szCs w:val="24"/>
        </w:rPr>
        <w:tab/>
      </w:r>
      <w:r w:rsidR="008B0872" w:rsidRPr="00D326B2">
        <w:rPr>
          <w:szCs w:val="24"/>
        </w:rPr>
        <w:t>Mr Church note</w:t>
      </w:r>
      <w:r w:rsidR="00770EFF">
        <w:rPr>
          <w:szCs w:val="24"/>
        </w:rPr>
        <w:t>d</w:t>
      </w:r>
      <w:r w:rsidR="008B0872" w:rsidRPr="00D326B2">
        <w:rPr>
          <w:szCs w:val="24"/>
        </w:rPr>
        <w:t xml:space="preserve"> that there </w:t>
      </w:r>
      <w:r w:rsidR="00B00CDC" w:rsidRPr="00D326B2">
        <w:rPr>
          <w:szCs w:val="24"/>
        </w:rPr>
        <w:t>have</w:t>
      </w:r>
      <w:r w:rsidR="008B0872" w:rsidRPr="00D326B2">
        <w:rPr>
          <w:szCs w:val="24"/>
        </w:rPr>
        <w:t xml:space="preserve"> been no approaches from developers or others interested in the land but as Mr Coulson had made clear this was not surprising given the long-anticipated road scheme.  Drawing the two strands of his analysis together he arrive</w:t>
      </w:r>
      <w:r w:rsidR="00770EFF">
        <w:rPr>
          <w:szCs w:val="24"/>
        </w:rPr>
        <w:t>d</w:t>
      </w:r>
      <w:r w:rsidR="008B0872" w:rsidRPr="00D326B2">
        <w:rPr>
          <w:szCs w:val="24"/>
        </w:rPr>
        <w:t xml:space="preserve"> at a reasoning that </w:t>
      </w:r>
      <w:r w:rsidR="00C73746">
        <w:rPr>
          <w:szCs w:val="24"/>
        </w:rPr>
        <w:t>attaching</w:t>
      </w:r>
      <w:r w:rsidR="008B0872" w:rsidRPr="00D326B2">
        <w:rPr>
          <w:szCs w:val="24"/>
        </w:rPr>
        <w:t xml:space="preserve"> any hope value to the site</w:t>
      </w:r>
      <w:r w:rsidR="00C73746">
        <w:rPr>
          <w:szCs w:val="24"/>
        </w:rPr>
        <w:t xml:space="preserve"> would be </w:t>
      </w:r>
      <w:r w:rsidR="008B0872" w:rsidRPr="00D326B2">
        <w:rPr>
          <w:szCs w:val="24"/>
        </w:rPr>
        <w:t>inappropriate. This approach le</w:t>
      </w:r>
      <w:r w:rsidR="00770EFF">
        <w:rPr>
          <w:szCs w:val="24"/>
        </w:rPr>
        <w:t>ft</w:t>
      </w:r>
      <w:r w:rsidR="008B0872" w:rsidRPr="00D326B2">
        <w:rPr>
          <w:szCs w:val="24"/>
        </w:rPr>
        <w:t xml:space="preserve"> Mr Church with a straightforward assessment of the land for agricultural purposes.  His list of comparable properties </w:t>
      </w:r>
      <w:r w:rsidR="00770EFF">
        <w:rPr>
          <w:szCs w:val="24"/>
        </w:rPr>
        <w:t>was</w:t>
      </w:r>
      <w:r w:rsidR="008B0872" w:rsidRPr="00D326B2">
        <w:rPr>
          <w:szCs w:val="24"/>
        </w:rPr>
        <w:t xml:space="preserve"> as follows:</w:t>
      </w:r>
    </w:p>
    <w:tbl>
      <w:tblPr>
        <w:tblStyle w:val="TableGrid"/>
        <w:tblW w:w="8363" w:type="dxa"/>
        <w:tblInd w:w="704" w:type="dxa"/>
        <w:tblLook w:val="04A0" w:firstRow="1" w:lastRow="0" w:firstColumn="1" w:lastColumn="0" w:noHBand="0" w:noVBand="1"/>
      </w:tblPr>
      <w:tblGrid>
        <w:gridCol w:w="455"/>
        <w:gridCol w:w="1114"/>
        <w:gridCol w:w="943"/>
        <w:gridCol w:w="923"/>
        <w:gridCol w:w="842"/>
        <w:gridCol w:w="2867"/>
        <w:gridCol w:w="1219"/>
      </w:tblGrid>
      <w:tr w:rsidR="00170B7B" w14:paraId="24EF3DB1" w14:textId="77777777" w:rsidTr="00C41D24">
        <w:tc>
          <w:tcPr>
            <w:tcW w:w="453" w:type="dxa"/>
          </w:tcPr>
          <w:p w14:paraId="0F851442" w14:textId="77777777" w:rsidR="00170B7B" w:rsidRPr="009352FB" w:rsidRDefault="00170B7B" w:rsidP="004A11DF">
            <w:pPr>
              <w:pStyle w:val="ListParagraph"/>
              <w:spacing w:after="360"/>
              <w:ind w:left="0"/>
              <w:contextualSpacing w:val="0"/>
              <w:jc w:val="both"/>
              <w:rPr>
                <w:b/>
                <w:bCs/>
                <w:sz w:val="20"/>
              </w:rPr>
            </w:pPr>
            <w:r w:rsidRPr="009352FB">
              <w:rPr>
                <w:b/>
                <w:bCs/>
                <w:sz w:val="20"/>
              </w:rPr>
              <w:t>No</w:t>
            </w:r>
          </w:p>
        </w:tc>
        <w:tc>
          <w:tcPr>
            <w:tcW w:w="1114" w:type="dxa"/>
          </w:tcPr>
          <w:p w14:paraId="7F66DDB2" w14:textId="77777777" w:rsidR="00170B7B" w:rsidRPr="009352FB" w:rsidRDefault="00170B7B" w:rsidP="004A11DF">
            <w:pPr>
              <w:pStyle w:val="ListParagraph"/>
              <w:spacing w:after="360"/>
              <w:ind w:left="0"/>
              <w:contextualSpacing w:val="0"/>
              <w:jc w:val="both"/>
              <w:rPr>
                <w:b/>
                <w:bCs/>
                <w:sz w:val="20"/>
              </w:rPr>
            </w:pPr>
            <w:r w:rsidRPr="009352FB">
              <w:rPr>
                <w:b/>
                <w:bCs/>
                <w:sz w:val="20"/>
              </w:rPr>
              <w:t>Address</w:t>
            </w:r>
          </w:p>
        </w:tc>
        <w:tc>
          <w:tcPr>
            <w:tcW w:w="943" w:type="dxa"/>
          </w:tcPr>
          <w:p w14:paraId="2853FEEF" w14:textId="77777777" w:rsidR="00170B7B" w:rsidRPr="009352FB" w:rsidRDefault="00170B7B" w:rsidP="004A11DF">
            <w:pPr>
              <w:pStyle w:val="ListParagraph"/>
              <w:spacing w:after="360"/>
              <w:ind w:left="0"/>
              <w:contextualSpacing w:val="0"/>
              <w:jc w:val="both"/>
              <w:rPr>
                <w:b/>
                <w:bCs/>
                <w:sz w:val="20"/>
              </w:rPr>
            </w:pPr>
            <w:r w:rsidRPr="009352FB">
              <w:rPr>
                <w:b/>
                <w:bCs/>
                <w:sz w:val="20"/>
              </w:rPr>
              <w:t>Sale Price</w:t>
            </w:r>
          </w:p>
        </w:tc>
        <w:tc>
          <w:tcPr>
            <w:tcW w:w="923" w:type="dxa"/>
          </w:tcPr>
          <w:p w14:paraId="3967E7AC" w14:textId="77777777" w:rsidR="00170B7B" w:rsidRPr="009352FB" w:rsidRDefault="00170B7B" w:rsidP="004A11DF">
            <w:pPr>
              <w:pStyle w:val="ListParagraph"/>
              <w:spacing w:after="360"/>
              <w:ind w:left="0"/>
              <w:contextualSpacing w:val="0"/>
              <w:jc w:val="both"/>
              <w:rPr>
                <w:b/>
                <w:bCs/>
                <w:sz w:val="20"/>
              </w:rPr>
            </w:pPr>
            <w:r w:rsidRPr="009352FB">
              <w:rPr>
                <w:b/>
                <w:bCs/>
                <w:sz w:val="20"/>
              </w:rPr>
              <w:t>Sale Date</w:t>
            </w:r>
          </w:p>
        </w:tc>
        <w:tc>
          <w:tcPr>
            <w:tcW w:w="842" w:type="dxa"/>
          </w:tcPr>
          <w:p w14:paraId="622F8AF2" w14:textId="77777777" w:rsidR="00170B7B" w:rsidRPr="009352FB" w:rsidRDefault="00170B7B" w:rsidP="004A11DF">
            <w:pPr>
              <w:pStyle w:val="ListParagraph"/>
              <w:spacing w:after="360"/>
              <w:ind w:left="0"/>
              <w:contextualSpacing w:val="0"/>
              <w:jc w:val="both"/>
              <w:rPr>
                <w:b/>
                <w:bCs/>
                <w:sz w:val="20"/>
              </w:rPr>
            </w:pPr>
            <w:r w:rsidRPr="009352FB">
              <w:rPr>
                <w:b/>
                <w:bCs/>
                <w:sz w:val="20"/>
              </w:rPr>
              <w:t>Area (Acres)</w:t>
            </w:r>
          </w:p>
        </w:tc>
        <w:tc>
          <w:tcPr>
            <w:tcW w:w="2869" w:type="dxa"/>
          </w:tcPr>
          <w:p w14:paraId="54F26178" w14:textId="77777777" w:rsidR="00170B7B" w:rsidRPr="009352FB" w:rsidRDefault="00170B7B" w:rsidP="004A11DF">
            <w:pPr>
              <w:pStyle w:val="ListParagraph"/>
              <w:spacing w:after="360"/>
              <w:ind w:left="0"/>
              <w:contextualSpacing w:val="0"/>
              <w:jc w:val="both"/>
              <w:rPr>
                <w:b/>
                <w:bCs/>
                <w:sz w:val="20"/>
              </w:rPr>
            </w:pPr>
            <w:r w:rsidRPr="009352FB">
              <w:rPr>
                <w:b/>
                <w:bCs/>
                <w:sz w:val="20"/>
              </w:rPr>
              <w:t>Comments</w:t>
            </w:r>
          </w:p>
        </w:tc>
        <w:tc>
          <w:tcPr>
            <w:tcW w:w="1219" w:type="dxa"/>
          </w:tcPr>
          <w:p w14:paraId="71922696" w14:textId="77777777" w:rsidR="00170B7B" w:rsidRPr="009352FB" w:rsidRDefault="00170B7B" w:rsidP="004A11DF">
            <w:pPr>
              <w:pStyle w:val="ListParagraph"/>
              <w:spacing w:after="360"/>
              <w:ind w:left="0"/>
              <w:contextualSpacing w:val="0"/>
              <w:jc w:val="both"/>
              <w:rPr>
                <w:b/>
                <w:bCs/>
                <w:sz w:val="20"/>
              </w:rPr>
            </w:pPr>
            <w:r w:rsidRPr="009352FB">
              <w:rPr>
                <w:b/>
                <w:bCs/>
                <w:sz w:val="20"/>
              </w:rPr>
              <w:t>Analysis</w:t>
            </w:r>
          </w:p>
        </w:tc>
      </w:tr>
      <w:tr w:rsidR="00170B7B" w14:paraId="63AA4936" w14:textId="77777777" w:rsidTr="00C41D24">
        <w:tc>
          <w:tcPr>
            <w:tcW w:w="453" w:type="dxa"/>
          </w:tcPr>
          <w:p w14:paraId="091E7630" w14:textId="77777777" w:rsidR="00170B7B" w:rsidRPr="007F5EE2" w:rsidRDefault="00170B7B" w:rsidP="004A11DF">
            <w:pPr>
              <w:pStyle w:val="ListParagraph"/>
              <w:spacing w:after="360"/>
              <w:ind w:left="0"/>
              <w:contextualSpacing w:val="0"/>
              <w:jc w:val="both"/>
              <w:rPr>
                <w:sz w:val="20"/>
              </w:rPr>
            </w:pPr>
            <w:r>
              <w:rPr>
                <w:sz w:val="20"/>
              </w:rPr>
              <w:t>1</w:t>
            </w:r>
          </w:p>
        </w:tc>
        <w:tc>
          <w:tcPr>
            <w:tcW w:w="1114" w:type="dxa"/>
          </w:tcPr>
          <w:p w14:paraId="70A8BC77" w14:textId="77777777" w:rsidR="00170B7B" w:rsidRPr="007F5EE2" w:rsidRDefault="00170B7B" w:rsidP="004A11DF">
            <w:pPr>
              <w:pStyle w:val="ListParagraph"/>
              <w:spacing w:after="360"/>
              <w:ind w:left="0"/>
              <w:contextualSpacing w:val="0"/>
              <w:rPr>
                <w:sz w:val="20"/>
              </w:rPr>
            </w:pPr>
            <w:r>
              <w:rPr>
                <w:sz w:val="20"/>
              </w:rPr>
              <w:t>Lot 7 Old Hall Farm, Woodford, Cheshire, SK7 1RN</w:t>
            </w:r>
          </w:p>
        </w:tc>
        <w:tc>
          <w:tcPr>
            <w:tcW w:w="943" w:type="dxa"/>
          </w:tcPr>
          <w:p w14:paraId="145327CE" w14:textId="77777777" w:rsidR="00170B7B" w:rsidRPr="007F5EE2" w:rsidRDefault="00170B7B" w:rsidP="004A11DF">
            <w:pPr>
              <w:pStyle w:val="ListParagraph"/>
              <w:spacing w:after="360"/>
              <w:ind w:left="0"/>
              <w:contextualSpacing w:val="0"/>
              <w:jc w:val="both"/>
              <w:rPr>
                <w:sz w:val="20"/>
              </w:rPr>
            </w:pPr>
            <w:r>
              <w:rPr>
                <w:sz w:val="20"/>
              </w:rPr>
              <w:t>£712,500</w:t>
            </w:r>
          </w:p>
        </w:tc>
        <w:tc>
          <w:tcPr>
            <w:tcW w:w="923" w:type="dxa"/>
          </w:tcPr>
          <w:p w14:paraId="552AC601" w14:textId="77777777" w:rsidR="00170B7B" w:rsidRPr="007F5EE2" w:rsidRDefault="00170B7B" w:rsidP="004A11DF">
            <w:pPr>
              <w:pStyle w:val="ListParagraph"/>
              <w:spacing w:after="360"/>
              <w:ind w:left="0"/>
              <w:contextualSpacing w:val="0"/>
              <w:jc w:val="both"/>
              <w:rPr>
                <w:sz w:val="20"/>
              </w:rPr>
            </w:pPr>
            <w:r>
              <w:rPr>
                <w:sz w:val="20"/>
              </w:rPr>
              <w:t>11/05/15</w:t>
            </w:r>
          </w:p>
        </w:tc>
        <w:tc>
          <w:tcPr>
            <w:tcW w:w="842" w:type="dxa"/>
          </w:tcPr>
          <w:p w14:paraId="64FAE8BB" w14:textId="77777777" w:rsidR="00170B7B" w:rsidRPr="007F5EE2" w:rsidRDefault="00170B7B" w:rsidP="004A11DF">
            <w:pPr>
              <w:pStyle w:val="ListParagraph"/>
              <w:spacing w:after="360"/>
              <w:ind w:left="0"/>
              <w:contextualSpacing w:val="0"/>
              <w:jc w:val="both"/>
              <w:rPr>
                <w:sz w:val="20"/>
              </w:rPr>
            </w:pPr>
            <w:r>
              <w:rPr>
                <w:sz w:val="20"/>
              </w:rPr>
              <w:t>69.055</w:t>
            </w:r>
          </w:p>
        </w:tc>
        <w:tc>
          <w:tcPr>
            <w:tcW w:w="2869" w:type="dxa"/>
          </w:tcPr>
          <w:p w14:paraId="08BF3C02" w14:textId="77777777" w:rsidR="00170B7B" w:rsidRPr="007F5EE2" w:rsidRDefault="00170B7B" w:rsidP="004A11DF">
            <w:pPr>
              <w:pStyle w:val="ListParagraph"/>
              <w:spacing w:after="360"/>
              <w:ind w:left="0"/>
              <w:contextualSpacing w:val="0"/>
              <w:rPr>
                <w:sz w:val="20"/>
              </w:rPr>
            </w:pPr>
            <w:r>
              <w:rPr>
                <w:sz w:val="20"/>
              </w:rPr>
              <w:t>Comprising freehold grade 3 arable farmland which is generally level to gently sloping and having frontage to the River Dean</w:t>
            </w:r>
          </w:p>
        </w:tc>
        <w:tc>
          <w:tcPr>
            <w:tcW w:w="1219" w:type="dxa"/>
          </w:tcPr>
          <w:p w14:paraId="2B6DC5AF" w14:textId="77777777" w:rsidR="00170B7B" w:rsidRPr="007F5EE2" w:rsidRDefault="00170B7B" w:rsidP="004A11DF">
            <w:pPr>
              <w:pStyle w:val="ListParagraph"/>
              <w:spacing w:after="360"/>
              <w:ind w:left="0"/>
              <w:contextualSpacing w:val="0"/>
              <w:jc w:val="both"/>
              <w:rPr>
                <w:sz w:val="20"/>
              </w:rPr>
            </w:pPr>
            <w:r>
              <w:rPr>
                <w:sz w:val="20"/>
              </w:rPr>
              <w:t>£10,317/acre</w:t>
            </w:r>
          </w:p>
        </w:tc>
      </w:tr>
      <w:tr w:rsidR="00170B7B" w14:paraId="0E07D828" w14:textId="77777777" w:rsidTr="00C41D24">
        <w:tc>
          <w:tcPr>
            <w:tcW w:w="453" w:type="dxa"/>
          </w:tcPr>
          <w:p w14:paraId="54E28669" w14:textId="77777777" w:rsidR="00170B7B" w:rsidRPr="007F5EE2" w:rsidRDefault="00170B7B" w:rsidP="004A11DF">
            <w:pPr>
              <w:pStyle w:val="ListParagraph"/>
              <w:spacing w:after="360"/>
              <w:ind w:left="0"/>
              <w:contextualSpacing w:val="0"/>
              <w:jc w:val="both"/>
              <w:rPr>
                <w:sz w:val="20"/>
              </w:rPr>
            </w:pPr>
            <w:r>
              <w:rPr>
                <w:sz w:val="20"/>
              </w:rPr>
              <w:t>2</w:t>
            </w:r>
          </w:p>
        </w:tc>
        <w:tc>
          <w:tcPr>
            <w:tcW w:w="1114" w:type="dxa"/>
          </w:tcPr>
          <w:p w14:paraId="114B43E9" w14:textId="77777777" w:rsidR="00170B7B" w:rsidRPr="007F5EE2" w:rsidRDefault="00170B7B" w:rsidP="004A11DF">
            <w:pPr>
              <w:pStyle w:val="ListParagraph"/>
              <w:spacing w:after="360"/>
              <w:ind w:left="0"/>
              <w:contextualSpacing w:val="0"/>
              <w:rPr>
                <w:sz w:val="20"/>
              </w:rPr>
            </w:pPr>
            <w:r>
              <w:rPr>
                <w:sz w:val="20"/>
              </w:rPr>
              <w:t>Lot 5, Ornell House Farm, Ostler’s Lane, Mobberley, WA16 7LY</w:t>
            </w:r>
          </w:p>
        </w:tc>
        <w:tc>
          <w:tcPr>
            <w:tcW w:w="943" w:type="dxa"/>
          </w:tcPr>
          <w:p w14:paraId="0F790C5A" w14:textId="77777777" w:rsidR="00170B7B" w:rsidRPr="007F5EE2" w:rsidRDefault="00170B7B" w:rsidP="004A11DF">
            <w:pPr>
              <w:pStyle w:val="ListParagraph"/>
              <w:spacing w:after="360"/>
              <w:ind w:left="0"/>
              <w:contextualSpacing w:val="0"/>
              <w:jc w:val="both"/>
              <w:rPr>
                <w:sz w:val="20"/>
              </w:rPr>
            </w:pPr>
            <w:r>
              <w:rPr>
                <w:sz w:val="20"/>
              </w:rPr>
              <w:t>£966,000</w:t>
            </w:r>
          </w:p>
        </w:tc>
        <w:tc>
          <w:tcPr>
            <w:tcW w:w="923" w:type="dxa"/>
          </w:tcPr>
          <w:p w14:paraId="31DB8FD8" w14:textId="77777777" w:rsidR="00170B7B" w:rsidRPr="007F5EE2" w:rsidRDefault="00170B7B" w:rsidP="004A11DF">
            <w:pPr>
              <w:pStyle w:val="ListParagraph"/>
              <w:spacing w:after="360"/>
              <w:ind w:left="0"/>
              <w:contextualSpacing w:val="0"/>
              <w:jc w:val="both"/>
              <w:rPr>
                <w:sz w:val="20"/>
              </w:rPr>
            </w:pPr>
            <w:r>
              <w:rPr>
                <w:sz w:val="20"/>
              </w:rPr>
              <w:t>23/05/15</w:t>
            </w:r>
          </w:p>
        </w:tc>
        <w:tc>
          <w:tcPr>
            <w:tcW w:w="842" w:type="dxa"/>
          </w:tcPr>
          <w:p w14:paraId="4F2A1F52" w14:textId="77777777" w:rsidR="00170B7B" w:rsidRPr="007F5EE2" w:rsidRDefault="00170B7B" w:rsidP="004A11DF">
            <w:pPr>
              <w:pStyle w:val="ListParagraph"/>
              <w:spacing w:after="360"/>
              <w:ind w:left="0"/>
              <w:contextualSpacing w:val="0"/>
              <w:jc w:val="both"/>
              <w:rPr>
                <w:sz w:val="20"/>
              </w:rPr>
            </w:pPr>
            <w:r>
              <w:rPr>
                <w:sz w:val="20"/>
              </w:rPr>
              <w:t>13.91</w:t>
            </w:r>
          </w:p>
        </w:tc>
        <w:tc>
          <w:tcPr>
            <w:tcW w:w="2869" w:type="dxa"/>
          </w:tcPr>
          <w:p w14:paraId="1E005C11" w14:textId="751D6B29" w:rsidR="00170B7B" w:rsidRPr="007F5EE2" w:rsidRDefault="00170B7B" w:rsidP="004A11DF">
            <w:pPr>
              <w:pStyle w:val="ListParagraph"/>
              <w:spacing w:after="360"/>
              <w:ind w:left="0"/>
              <w:contextualSpacing w:val="0"/>
              <w:rPr>
                <w:sz w:val="20"/>
              </w:rPr>
            </w:pPr>
            <w:r>
              <w:rPr>
                <w:sz w:val="20"/>
              </w:rPr>
              <w:t xml:space="preserve">Generally level grade 3 permanent pastureland divided in two fields across to Woodland Lane and water supply via a natural drain along the northern boundary. The land was </w:t>
            </w:r>
            <w:r w:rsidR="00AB410E">
              <w:rPr>
                <w:sz w:val="20"/>
              </w:rPr>
              <w:t>s</w:t>
            </w:r>
            <w:r>
              <w:rPr>
                <w:sz w:val="20"/>
              </w:rPr>
              <w:t>old without B</w:t>
            </w:r>
            <w:r w:rsidR="00FB332D">
              <w:rPr>
                <w:sz w:val="20"/>
              </w:rPr>
              <w:t xml:space="preserve">asic </w:t>
            </w:r>
            <w:r>
              <w:rPr>
                <w:sz w:val="20"/>
              </w:rPr>
              <w:t>P</w:t>
            </w:r>
            <w:r w:rsidR="00853E05">
              <w:rPr>
                <w:sz w:val="20"/>
              </w:rPr>
              <w:t xml:space="preserve">ayment </w:t>
            </w:r>
            <w:r w:rsidR="008C43A9">
              <w:rPr>
                <w:sz w:val="20"/>
              </w:rPr>
              <w:t>Scheme entitlement.</w:t>
            </w:r>
          </w:p>
        </w:tc>
        <w:tc>
          <w:tcPr>
            <w:tcW w:w="1219" w:type="dxa"/>
          </w:tcPr>
          <w:p w14:paraId="0ED8B266" w14:textId="77777777" w:rsidR="00170B7B" w:rsidRPr="007F5EE2" w:rsidRDefault="00170B7B" w:rsidP="004A11DF">
            <w:pPr>
              <w:pStyle w:val="ListParagraph"/>
              <w:spacing w:after="360"/>
              <w:ind w:left="0"/>
              <w:contextualSpacing w:val="0"/>
              <w:jc w:val="both"/>
              <w:rPr>
                <w:sz w:val="20"/>
              </w:rPr>
            </w:pPr>
            <w:r>
              <w:rPr>
                <w:sz w:val="20"/>
              </w:rPr>
              <w:t>£6,901/acre</w:t>
            </w:r>
          </w:p>
        </w:tc>
      </w:tr>
      <w:tr w:rsidR="00170B7B" w14:paraId="5F1187C4" w14:textId="77777777" w:rsidTr="00C41D24">
        <w:trPr>
          <w:trHeight w:val="2120"/>
        </w:trPr>
        <w:tc>
          <w:tcPr>
            <w:tcW w:w="453" w:type="dxa"/>
          </w:tcPr>
          <w:p w14:paraId="5DFC401C" w14:textId="77777777" w:rsidR="00170B7B" w:rsidRPr="007F5EE2" w:rsidRDefault="00170B7B" w:rsidP="004A11DF">
            <w:pPr>
              <w:pStyle w:val="ListParagraph"/>
              <w:spacing w:after="360"/>
              <w:ind w:left="0"/>
              <w:contextualSpacing w:val="0"/>
              <w:jc w:val="both"/>
              <w:rPr>
                <w:sz w:val="20"/>
              </w:rPr>
            </w:pPr>
            <w:r>
              <w:rPr>
                <w:sz w:val="20"/>
              </w:rPr>
              <w:t>3</w:t>
            </w:r>
          </w:p>
        </w:tc>
        <w:tc>
          <w:tcPr>
            <w:tcW w:w="1114" w:type="dxa"/>
          </w:tcPr>
          <w:p w14:paraId="31345A40" w14:textId="77777777" w:rsidR="00170B7B" w:rsidRDefault="00170B7B" w:rsidP="004A11DF">
            <w:pPr>
              <w:pStyle w:val="ListParagraph"/>
              <w:spacing w:after="360"/>
              <w:ind w:left="0"/>
              <w:contextualSpacing w:val="0"/>
              <w:jc w:val="both"/>
              <w:rPr>
                <w:sz w:val="20"/>
              </w:rPr>
            </w:pPr>
            <w:r>
              <w:rPr>
                <w:sz w:val="20"/>
              </w:rPr>
              <w:t>Lots 1 &amp; 2 Kingsway, Gately</w:t>
            </w:r>
          </w:p>
          <w:p w14:paraId="40770831" w14:textId="77834AFF" w:rsidR="00170B7B" w:rsidRPr="007F5EE2" w:rsidRDefault="00170B7B" w:rsidP="004A11DF">
            <w:pPr>
              <w:pStyle w:val="ListParagraph"/>
              <w:spacing w:after="360"/>
              <w:ind w:left="0"/>
              <w:contextualSpacing w:val="0"/>
              <w:jc w:val="both"/>
              <w:rPr>
                <w:sz w:val="20"/>
              </w:rPr>
            </w:pPr>
          </w:p>
        </w:tc>
        <w:tc>
          <w:tcPr>
            <w:tcW w:w="943" w:type="dxa"/>
          </w:tcPr>
          <w:p w14:paraId="31820975" w14:textId="77777777" w:rsidR="00170B7B" w:rsidRPr="007F5EE2" w:rsidRDefault="00170B7B" w:rsidP="004A11DF">
            <w:pPr>
              <w:pStyle w:val="ListParagraph"/>
              <w:spacing w:after="360"/>
              <w:ind w:left="0"/>
              <w:contextualSpacing w:val="0"/>
              <w:jc w:val="both"/>
              <w:rPr>
                <w:sz w:val="20"/>
              </w:rPr>
            </w:pPr>
            <w:r>
              <w:rPr>
                <w:sz w:val="20"/>
              </w:rPr>
              <w:t>£80,000</w:t>
            </w:r>
          </w:p>
        </w:tc>
        <w:tc>
          <w:tcPr>
            <w:tcW w:w="923" w:type="dxa"/>
          </w:tcPr>
          <w:p w14:paraId="64B1962F" w14:textId="2D5AE48B" w:rsidR="00170B7B" w:rsidRPr="007F5EE2" w:rsidRDefault="00170B7B" w:rsidP="004A11DF">
            <w:pPr>
              <w:pStyle w:val="ListParagraph"/>
              <w:spacing w:after="360"/>
              <w:ind w:left="0"/>
              <w:contextualSpacing w:val="0"/>
              <w:jc w:val="both"/>
              <w:rPr>
                <w:sz w:val="20"/>
              </w:rPr>
            </w:pPr>
            <w:r>
              <w:rPr>
                <w:sz w:val="20"/>
              </w:rPr>
              <w:t xml:space="preserve">March </w:t>
            </w:r>
            <w:r w:rsidR="007F6659">
              <w:rPr>
                <w:sz w:val="20"/>
              </w:rPr>
              <w:t>20</w:t>
            </w:r>
            <w:r>
              <w:rPr>
                <w:sz w:val="20"/>
              </w:rPr>
              <w:t>15</w:t>
            </w:r>
          </w:p>
        </w:tc>
        <w:tc>
          <w:tcPr>
            <w:tcW w:w="842" w:type="dxa"/>
          </w:tcPr>
          <w:p w14:paraId="0BDB6A42" w14:textId="796E2905" w:rsidR="00170B7B" w:rsidRPr="007F5EE2" w:rsidRDefault="00170B7B" w:rsidP="004A11DF">
            <w:pPr>
              <w:pStyle w:val="ListParagraph"/>
              <w:spacing w:after="360"/>
              <w:ind w:left="0"/>
              <w:contextualSpacing w:val="0"/>
              <w:jc w:val="both"/>
              <w:rPr>
                <w:sz w:val="20"/>
              </w:rPr>
            </w:pPr>
            <w:r>
              <w:rPr>
                <w:sz w:val="20"/>
              </w:rPr>
              <w:t>8</w:t>
            </w:r>
            <w:r w:rsidR="00CD74B0">
              <w:rPr>
                <w:sz w:val="20"/>
              </w:rPr>
              <w:t>.</w:t>
            </w:r>
            <w:r>
              <w:rPr>
                <w:sz w:val="20"/>
              </w:rPr>
              <w:t>299</w:t>
            </w:r>
          </w:p>
        </w:tc>
        <w:tc>
          <w:tcPr>
            <w:tcW w:w="2869" w:type="dxa"/>
          </w:tcPr>
          <w:p w14:paraId="7B883001" w14:textId="380A87AF" w:rsidR="00170B7B" w:rsidRPr="007F5EE2" w:rsidRDefault="00170B7B" w:rsidP="004A11DF">
            <w:pPr>
              <w:pStyle w:val="ListParagraph"/>
              <w:spacing w:after="360"/>
              <w:ind w:left="0"/>
              <w:contextualSpacing w:val="0"/>
              <w:jc w:val="both"/>
              <w:rPr>
                <w:sz w:val="20"/>
              </w:rPr>
            </w:pPr>
            <w:r>
              <w:rPr>
                <w:sz w:val="20"/>
              </w:rPr>
              <w:t>Auction as two parcels however sold as a single l</w:t>
            </w:r>
            <w:r w:rsidR="00216919">
              <w:rPr>
                <w:sz w:val="20"/>
              </w:rPr>
              <w:t>o</w:t>
            </w:r>
            <w:r>
              <w:rPr>
                <w:sz w:val="20"/>
              </w:rPr>
              <w:t xml:space="preserve">t, grazing land with frontage to the River Mersey. The land is improved with horse shelters and storage sheds. The site is </w:t>
            </w:r>
            <w:r w:rsidR="002D7C6F">
              <w:rPr>
                <w:sz w:val="20"/>
              </w:rPr>
              <w:t>near</w:t>
            </w:r>
            <w:r>
              <w:rPr>
                <w:sz w:val="20"/>
              </w:rPr>
              <w:t xml:space="preserve"> the motorway and railway as well as an overhead powerline. Built development sits on the other side of River Mersey</w:t>
            </w:r>
          </w:p>
        </w:tc>
        <w:tc>
          <w:tcPr>
            <w:tcW w:w="1219" w:type="dxa"/>
          </w:tcPr>
          <w:p w14:paraId="32A681E3" w14:textId="77777777" w:rsidR="00170B7B" w:rsidRPr="007F5EE2" w:rsidRDefault="00170B7B" w:rsidP="004A11DF">
            <w:pPr>
              <w:pStyle w:val="ListParagraph"/>
              <w:spacing w:after="360"/>
              <w:ind w:left="0"/>
              <w:contextualSpacing w:val="0"/>
              <w:jc w:val="both"/>
              <w:rPr>
                <w:sz w:val="20"/>
              </w:rPr>
            </w:pPr>
            <w:r>
              <w:rPr>
                <w:sz w:val="20"/>
              </w:rPr>
              <w:t>After allowing £10,000 for structures, shows £70,000 or £8,434/acre</w:t>
            </w:r>
          </w:p>
        </w:tc>
      </w:tr>
      <w:tr w:rsidR="00170B7B" w:rsidRPr="007F5EE2" w14:paraId="2F34049E" w14:textId="77777777" w:rsidTr="00C41D24">
        <w:trPr>
          <w:trHeight w:val="70"/>
        </w:trPr>
        <w:tc>
          <w:tcPr>
            <w:tcW w:w="453" w:type="dxa"/>
          </w:tcPr>
          <w:p w14:paraId="1E0F65A8" w14:textId="77777777" w:rsidR="00170B7B" w:rsidRPr="007F5EE2" w:rsidRDefault="00170B7B" w:rsidP="004A11DF">
            <w:pPr>
              <w:pStyle w:val="ListParagraph"/>
              <w:spacing w:after="360"/>
              <w:ind w:left="0"/>
              <w:contextualSpacing w:val="0"/>
              <w:jc w:val="both"/>
              <w:rPr>
                <w:sz w:val="20"/>
              </w:rPr>
            </w:pPr>
            <w:bookmarkStart w:id="2" w:name="_Hlk85104463"/>
            <w:r>
              <w:rPr>
                <w:sz w:val="20"/>
              </w:rPr>
              <w:t>4</w:t>
            </w:r>
          </w:p>
        </w:tc>
        <w:tc>
          <w:tcPr>
            <w:tcW w:w="1114" w:type="dxa"/>
          </w:tcPr>
          <w:p w14:paraId="6DA6CD68" w14:textId="1D7B78F5" w:rsidR="00170B7B" w:rsidRPr="007F5EE2" w:rsidRDefault="00170B7B" w:rsidP="00170B7B">
            <w:pPr>
              <w:pStyle w:val="ListParagraph"/>
              <w:spacing w:after="360"/>
              <w:ind w:left="0"/>
              <w:contextualSpacing w:val="0"/>
              <w:rPr>
                <w:sz w:val="20"/>
              </w:rPr>
            </w:pPr>
            <w:r>
              <w:rPr>
                <w:sz w:val="20"/>
              </w:rPr>
              <w:t xml:space="preserve">Lot </w:t>
            </w:r>
            <w:r w:rsidR="00D37EBA">
              <w:rPr>
                <w:sz w:val="20"/>
              </w:rPr>
              <w:t xml:space="preserve">4 </w:t>
            </w:r>
            <w:proofErr w:type="spellStart"/>
            <w:r w:rsidR="00D37EBA">
              <w:rPr>
                <w:sz w:val="20"/>
              </w:rPr>
              <w:t>Orrell</w:t>
            </w:r>
            <w:proofErr w:type="spellEnd"/>
            <w:r>
              <w:rPr>
                <w:sz w:val="20"/>
              </w:rPr>
              <w:t xml:space="preserve"> House Farm, Mobberley, WA16 7LY</w:t>
            </w:r>
          </w:p>
        </w:tc>
        <w:tc>
          <w:tcPr>
            <w:tcW w:w="943" w:type="dxa"/>
          </w:tcPr>
          <w:p w14:paraId="33231055" w14:textId="77777777" w:rsidR="00170B7B" w:rsidRPr="007F5EE2" w:rsidRDefault="00170B7B" w:rsidP="004A11DF">
            <w:pPr>
              <w:pStyle w:val="ListParagraph"/>
              <w:spacing w:after="360"/>
              <w:ind w:left="0"/>
              <w:contextualSpacing w:val="0"/>
              <w:jc w:val="both"/>
              <w:rPr>
                <w:sz w:val="20"/>
              </w:rPr>
            </w:pPr>
            <w:r>
              <w:rPr>
                <w:sz w:val="20"/>
              </w:rPr>
              <w:t>£82,000</w:t>
            </w:r>
          </w:p>
        </w:tc>
        <w:tc>
          <w:tcPr>
            <w:tcW w:w="923" w:type="dxa"/>
          </w:tcPr>
          <w:p w14:paraId="633668F7" w14:textId="46096F60" w:rsidR="00170B7B" w:rsidRPr="007F5EE2" w:rsidRDefault="00170B7B" w:rsidP="004A11DF">
            <w:pPr>
              <w:pStyle w:val="ListParagraph"/>
              <w:spacing w:after="360"/>
              <w:ind w:left="0"/>
              <w:contextualSpacing w:val="0"/>
              <w:jc w:val="both"/>
              <w:rPr>
                <w:sz w:val="20"/>
              </w:rPr>
            </w:pPr>
            <w:r>
              <w:rPr>
                <w:sz w:val="20"/>
              </w:rPr>
              <w:t xml:space="preserve">April </w:t>
            </w:r>
            <w:r w:rsidR="007F6659">
              <w:rPr>
                <w:sz w:val="20"/>
              </w:rPr>
              <w:t>20</w:t>
            </w:r>
            <w:r>
              <w:rPr>
                <w:sz w:val="20"/>
              </w:rPr>
              <w:t>15</w:t>
            </w:r>
          </w:p>
        </w:tc>
        <w:tc>
          <w:tcPr>
            <w:tcW w:w="842" w:type="dxa"/>
          </w:tcPr>
          <w:p w14:paraId="3965AEA3" w14:textId="77777777" w:rsidR="00170B7B" w:rsidRPr="007F5EE2" w:rsidRDefault="00170B7B" w:rsidP="004A11DF">
            <w:pPr>
              <w:pStyle w:val="ListParagraph"/>
              <w:spacing w:after="360"/>
              <w:ind w:left="0"/>
              <w:contextualSpacing w:val="0"/>
              <w:jc w:val="both"/>
              <w:rPr>
                <w:sz w:val="20"/>
              </w:rPr>
            </w:pPr>
            <w:r>
              <w:rPr>
                <w:sz w:val="20"/>
              </w:rPr>
              <w:t>9.62</w:t>
            </w:r>
          </w:p>
        </w:tc>
        <w:tc>
          <w:tcPr>
            <w:tcW w:w="2869" w:type="dxa"/>
          </w:tcPr>
          <w:p w14:paraId="0CE97411" w14:textId="0FCF9033" w:rsidR="00170B7B" w:rsidRPr="007F5EE2" w:rsidRDefault="00170B7B" w:rsidP="004A11DF">
            <w:pPr>
              <w:pStyle w:val="ListParagraph"/>
              <w:spacing w:after="360"/>
              <w:ind w:left="0"/>
              <w:contextualSpacing w:val="0"/>
              <w:rPr>
                <w:sz w:val="20"/>
              </w:rPr>
            </w:pPr>
            <w:r>
              <w:rPr>
                <w:sz w:val="20"/>
              </w:rPr>
              <w:t>Generally level grade 3 permanent pastureland with a small pond and mature shade trees. No services connected to land</w:t>
            </w:r>
            <w:r w:rsidR="0032090B">
              <w:rPr>
                <w:sz w:val="20"/>
              </w:rPr>
              <w:t>.</w:t>
            </w:r>
          </w:p>
        </w:tc>
        <w:tc>
          <w:tcPr>
            <w:tcW w:w="1219" w:type="dxa"/>
          </w:tcPr>
          <w:p w14:paraId="73166346" w14:textId="77777777" w:rsidR="00170B7B" w:rsidRPr="007F5EE2" w:rsidRDefault="00170B7B" w:rsidP="004A11DF">
            <w:pPr>
              <w:pStyle w:val="ListParagraph"/>
              <w:spacing w:after="360"/>
              <w:ind w:left="0"/>
              <w:contextualSpacing w:val="0"/>
              <w:jc w:val="both"/>
              <w:rPr>
                <w:sz w:val="20"/>
              </w:rPr>
            </w:pPr>
            <w:r>
              <w:rPr>
                <w:sz w:val="20"/>
              </w:rPr>
              <w:t>£8,524/acre</w:t>
            </w:r>
          </w:p>
        </w:tc>
      </w:tr>
      <w:tr w:rsidR="00170B7B" w:rsidRPr="007F5EE2" w14:paraId="292428D7" w14:textId="77777777" w:rsidTr="00C41D24">
        <w:trPr>
          <w:trHeight w:val="1085"/>
        </w:trPr>
        <w:tc>
          <w:tcPr>
            <w:tcW w:w="453" w:type="dxa"/>
          </w:tcPr>
          <w:p w14:paraId="79A1F4B7" w14:textId="77777777" w:rsidR="00170B7B" w:rsidRDefault="00170B7B" w:rsidP="004A11DF">
            <w:pPr>
              <w:pStyle w:val="ListParagraph"/>
              <w:spacing w:after="360"/>
              <w:ind w:left="0"/>
              <w:contextualSpacing w:val="0"/>
              <w:jc w:val="both"/>
              <w:rPr>
                <w:sz w:val="20"/>
              </w:rPr>
            </w:pPr>
            <w:r>
              <w:rPr>
                <w:sz w:val="20"/>
              </w:rPr>
              <w:t>5</w:t>
            </w:r>
          </w:p>
        </w:tc>
        <w:tc>
          <w:tcPr>
            <w:tcW w:w="1114" w:type="dxa"/>
          </w:tcPr>
          <w:p w14:paraId="1613DC5C" w14:textId="46FD557C" w:rsidR="00170B7B" w:rsidRDefault="00170B7B" w:rsidP="00170B7B">
            <w:pPr>
              <w:pStyle w:val="ListParagraph"/>
              <w:spacing w:after="360"/>
              <w:ind w:left="0"/>
              <w:contextualSpacing w:val="0"/>
              <w:rPr>
                <w:sz w:val="20"/>
              </w:rPr>
            </w:pPr>
            <w:bookmarkStart w:id="3" w:name="_Hlk85713626"/>
            <w:r>
              <w:rPr>
                <w:sz w:val="20"/>
              </w:rPr>
              <w:t xml:space="preserve">Land off, Congleton Road, </w:t>
            </w:r>
            <w:r>
              <w:rPr>
                <w:sz w:val="20"/>
              </w:rPr>
              <w:lastRenderedPageBreak/>
              <w:t>Nether Alderley</w:t>
            </w:r>
            <w:bookmarkEnd w:id="3"/>
          </w:p>
        </w:tc>
        <w:tc>
          <w:tcPr>
            <w:tcW w:w="943" w:type="dxa"/>
          </w:tcPr>
          <w:p w14:paraId="12F96A06" w14:textId="77777777" w:rsidR="00170B7B" w:rsidRDefault="00170B7B" w:rsidP="004A11DF">
            <w:pPr>
              <w:pStyle w:val="ListParagraph"/>
              <w:spacing w:after="360"/>
              <w:ind w:left="0"/>
              <w:contextualSpacing w:val="0"/>
              <w:jc w:val="both"/>
              <w:rPr>
                <w:sz w:val="20"/>
              </w:rPr>
            </w:pPr>
            <w:r>
              <w:rPr>
                <w:sz w:val="20"/>
              </w:rPr>
              <w:lastRenderedPageBreak/>
              <w:t>£200,000</w:t>
            </w:r>
          </w:p>
        </w:tc>
        <w:tc>
          <w:tcPr>
            <w:tcW w:w="923" w:type="dxa"/>
          </w:tcPr>
          <w:p w14:paraId="05652F4A" w14:textId="77777777" w:rsidR="00170B7B" w:rsidRDefault="00170B7B" w:rsidP="004A11DF">
            <w:pPr>
              <w:pStyle w:val="ListParagraph"/>
              <w:spacing w:after="360"/>
              <w:ind w:left="0"/>
              <w:contextualSpacing w:val="0"/>
              <w:jc w:val="both"/>
              <w:rPr>
                <w:sz w:val="20"/>
              </w:rPr>
            </w:pPr>
            <w:r>
              <w:rPr>
                <w:sz w:val="20"/>
              </w:rPr>
              <w:t>2014</w:t>
            </w:r>
          </w:p>
        </w:tc>
        <w:tc>
          <w:tcPr>
            <w:tcW w:w="842" w:type="dxa"/>
          </w:tcPr>
          <w:p w14:paraId="15D3EBD3" w14:textId="77777777" w:rsidR="00170B7B" w:rsidRDefault="00170B7B" w:rsidP="004A11DF">
            <w:pPr>
              <w:pStyle w:val="ListParagraph"/>
              <w:spacing w:after="360"/>
              <w:ind w:left="0"/>
              <w:contextualSpacing w:val="0"/>
              <w:jc w:val="both"/>
              <w:rPr>
                <w:sz w:val="20"/>
              </w:rPr>
            </w:pPr>
            <w:r>
              <w:rPr>
                <w:sz w:val="20"/>
              </w:rPr>
              <w:t>9.72</w:t>
            </w:r>
          </w:p>
        </w:tc>
        <w:tc>
          <w:tcPr>
            <w:tcW w:w="2869" w:type="dxa"/>
          </w:tcPr>
          <w:p w14:paraId="7E0AAB21" w14:textId="28DBA0E3" w:rsidR="00170B7B" w:rsidRDefault="00170B7B" w:rsidP="004A11DF">
            <w:pPr>
              <w:pStyle w:val="ListParagraph"/>
              <w:spacing w:after="360"/>
              <w:ind w:left="0"/>
              <w:contextualSpacing w:val="0"/>
              <w:rPr>
                <w:sz w:val="20"/>
              </w:rPr>
            </w:pPr>
            <w:r>
              <w:rPr>
                <w:sz w:val="20"/>
              </w:rPr>
              <w:t>Gently sloping, permanent pastureland which formed part of the AstraZeneca Alderley Park Estate</w:t>
            </w:r>
            <w:r w:rsidR="0032090B">
              <w:rPr>
                <w:sz w:val="20"/>
              </w:rPr>
              <w:t>.</w:t>
            </w:r>
          </w:p>
        </w:tc>
        <w:tc>
          <w:tcPr>
            <w:tcW w:w="1219" w:type="dxa"/>
          </w:tcPr>
          <w:p w14:paraId="7A541B01" w14:textId="77777777" w:rsidR="00170B7B" w:rsidRDefault="00170B7B" w:rsidP="004A11DF">
            <w:pPr>
              <w:pStyle w:val="ListParagraph"/>
              <w:spacing w:after="360"/>
              <w:ind w:left="0"/>
              <w:contextualSpacing w:val="0"/>
              <w:jc w:val="both"/>
              <w:rPr>
                <w:sz w:val="20"/>
              </w:rPr>
            </w:pPr>
            <w:r>
              <w:rPr>
                <w:sz w:val="20"/>
              </w:rPr>
              <w:t>£20,576/acre</w:t>
            </w:r>
          </w:p>
        </w:tc>
      </w:tr>
      <w:bookmarkEnd w:id="2"/>
    </w:tbl>
    <w:p w14:paraId="6B3F97C5" w14:textId="77777777" w:rsidR="008B0872" w:rsidRDefault="008B0872" w:rsidP="008B0872">
      <w:pPr>
        <w:pStyle w:val="ListParagraph"/>
        <w:spacing w:after="360"/>
        <w:ind w:left="567"/>
        <w:contextualSpacing w:val="0"/>
        <w:jc w:val="both"/>
        <w:rPr>
          <w:szCs w:val="24"/>
        </w:rPr>
      </w:pPr>
    </w:p>
    <w:p w14:paraId="4F4383EA" w14:textId="0A89A06C" w:rsidR="00457BA3" w:rsidRPr="00350442" w:rsidRDefault="00BA1359" w:rsidP="00C41D24">
      <w:pPr>
        <w:spacing w:after="360" w:line="259" w:lineRule="auto"/>
        <w:ind w:left="720" w:hanging="720"/>
        <w:jc w:val="both"/>
        <w:rPr>
          <w:szCs w:val="24"/>
        </w:rPr>
      </w:pPr>
      <w:r>
        <w:rPr>
          <w:szCs w:val="24"/>
        </w:rPr>
        <w:t>71</w:t>
      </w:r>
      <w:r w:rsidR="00C41D24">
        <w:rPr>
          <w:szCs w:val="24"/>
        </w:rPr>
        <w:t>.</w:t>
      </w:r>
      <w:r w:rsidR="00C41D24">
        <w:rPr>
          <w:szCs w:val="24"/>
        </w:rPr>
        <w:tab/>
      </w:r>
      <w:r w:rsidR="00736833" w:rsidRPr="00350442">
        <w:rPr>
          <w:szCs w:val="24"/>
        </w:rPr>
        <w:t xml:space="preserve">Mr Church says that </w:t>
      </w:r>
      <w:r w:rsidR="00BD629F" w:rsidRPr="00350442">
        <w:rPr>
          <w:szCs w:val="24"/>
        </w:rPr>
        <w:t xml:space="preserve">the sale of land at Old Hall Farm, Woodford </w:t>
      </w:r>
      <w:r w:rsidR="00457BA3" w:rsidRPr="00350442">
        <w:rPr>
          <w:szCs w:val="24"/>
        </w:rPr>
        <w:t xml:space="preserve">completed after valuation </w:t>
      </w:r>
      <w:r w:rsidR="000F4FF4" w:rsidRPr="00350442">
        <w:rPr>
          <w:szCs w:val="24"/>
        </w:rPr>
        <w:t>date,</w:t>
      </w:r>
      <w:r w:rsidR="00457BA3" w:rsidRPr="00350442">
        <w:rPr>
          <w:szCs w:val="24"/>
        </w:rPr>
        <w:t xml:space="preserve"> but </w:t>
      </w:r>
      <w:r w:rsidR="00F0547B" w:rsidRPr="00350442">
        <w:rPr>
          <w:szCs w:val="24"/>
        </w:rPr>
        <w:t xml:space="preserve">the transaction was close enough to be </w:t>
      </w:r>
      <w:r w:rsidR="00457BA3" w:rsidRPr="00350442">
        <w:rPr>
          <w:szCs w:val="24"/>
        </w:rPr>
        <w:t xml:space="preserve">considered contemporaneous. </w:t>
      </w:r>
      <w:r w:rsidR="00F0547B" w:rsidRPr="00350442">
        <w:rPr>
          <w:szCs w:val="24"/>
        </w:rPr>
        <w:t>It is he says, b</w:t>
      </w:r>
      <w:r w:rsidR="00457BA3" w:rsidRPr="00350442">
        <w:rPr>
          <w:szCs w:val="24"/>
        </w:rPr>
        <w:t xml:space="preserve">etter quality arable farmland </w:t>
      </w:r>
      <w:r w:rsidR="00F0547B" w:rsidRPr="00350442">
        <w:rPr>
          <w:szCs w:val="24"/>
        </w:rPr>
        <w:t xml:space="preserve">than the grazing land </w:t>
      </w:r>
      <w:r w:rsidR="00DD4C10" w:rsidRPr="00350442">
        <w:rPr>
          <w:szCs w:val="24"/>
        </w:rPr>
        <w:t xml:space="preserve">and </w:t>
      </w:r>
      <w:r w:rsidR="008172BB">
        <w:rPr>
          <w:szCs w:val="24"/>
        </w:rPr>
        <w:t>was</w:t>
      </w:r>
      <w:r w:rsidR="00DD4C10" w:rsidRPr="00350442">
        <w:rPr>
          <w:szCs w:val="24"/>
        </w:rPr>
        <w:t xml:space="preserve"> </w:t>
      </w:r>
      <w:r w:rsidR="00457BA3" w:rsidRPr="00350442">
        <w:rPr>
          <w:szCs w:val="24"/>
        </w:rPr>
        <w:t xml:space="preserve">sown to maize and potatoes in </w:t>
      </w:r>
      <w:r w:rsidR="00DD4C10" w:rsidRPr="00350442">
        <w:rPr>
          <w:szCs w:val="24"/>
        </w:rPr>
        <w:t xml:space="preserve">the </w:t>
      </w:r>
      <w:r w:rsidR="00457BA3" w:rsidRPr="00350442">
        <w:rPr>
          <w:szCs w:val="24"/>
        </w:rPr>
        <w:t xml:space="preserve">recent </w:t>
      </w:r>
      <w:r w:rsidR="00DD4C10" w:rsidRPr="00350442">
        <w:rPr>
          <w:szCs w:val="24"/>
        </w:rPr>
        <w:t>past</w:t>
      </w:r>
      <w:r w:rsidR="00457BA3" w:rsidRPr="00350442">
        <w:rPr>
          <w:szCs w:val="24"/>
        </w:rPr>
        <w:t xml:space="preserve">. </w:t>
      </w:r>
      <w:r w:rsidR="00DD4C10" w:rsidRPr="00350442">
        <w:rPr>
          <w:szCs w:val="24"/>
        </w:rPr>
        <w:t xml:space="preserve">He considers it a good guide to </w:t>
      </w:r>
      <w:r w:rsidR="00457BA3" w:rsidRPr="00350442">
        <w:rPr>
          <w:szCs w:val="24"/>
        </w:rPr>
        <w:t>agricultural values in the area</w:t>
      </w:r>
      <w:r w:rsidR="008172BB">
        <w:rPr>
          <w:szCs w:val="24"/>
        </w:rPr>
        <w:t>.</w:t>
      </w:r>
    </w:p>
    <w:p w14:paraId="12740C66" w14:textId="5EE85938" w:rsidR="00457BA3" w:rsidRPr="00350442" w:rsidRDefault="00C41D24" w:rsidP="00C41D24">
      <w:pPr>
        <w:spacing w:after="360" w:line="259" w:lineRule="auto"/>
        <w:ind w:left="720" w:hanging="720"/>
        <w:jc w:val="both"/>
        <w:rPr>
          <w:szCs w:val="24"/>
        </w:rPr>
      </w:pPr>
      <w:r>
        <w:rPr>
          <w:szCs w:val="24"/>
        </w:rPr>
        <w:t>7</w:t>
      </w:r>
      <w:r w:rsidR="00BA1359">
        <w:rPr>
          <w:szCs w:val="24"/>
        </w:rPr>
        <w:t>2</w:t>
      </w:r>
      <w:r>
        <w:rPr>
          <w:szCs w:val="24"/>
        </w:rPr>
        <w:t>.</w:t>
      </w:r>
      <w:r>
        <w:rPr>
          <w:szCs w:val="24"/>
        </w:rPr>
        <w:tab/>
      </w:r>
      <w:r w:rsidR="00283DFC" w:rsidRPr="00350442">
        <w:rPr>
          <w:szCs w:val="24"/>
        </w:rPr>
        <w:t xml:space="preserve">Lot 5, Ornell House Farm, Ostler’s Lane, Mobberley is thought by Mr Church to be </w:t>
      </w:r>
      <w:r w:rsidR="00457BA3" w:rsidRPr="00350442">
        <w:rPr>
          <w:szCs w:val="24"/>
        </w:rPr>
        <w:t xml:space="preserve">in a less desirable location, although </w:t>
      </w:r>
      <w:r w:rsidR="00E874ED" w:rsidRPr="00350442">
        <w:rPr>
          <w:szCs w:val="24"/>
        </w:rPr>
        <w:t>it has</w:t>
      </w:r>
      <w:r w:rsidR="00457BA3" w:rsidRPr="00350442">
        <w:rPr>
          <w:szCs w:val="24"/>
        </w:rPr>
        <w:t xml:space="preserve"> superior rural amenity. The land was unequipped </w:t>
      </w:r>
      <w:r w:rsidR="008946BE">
        <w:rPr>
          <w:szCs w:val="24"/>
        </w:rPr>
        <w:t>with</w:t>
      </w:r>
      <w:r w:rsidR="00457BA3" w:rsidRPr="00350442">
        <w:rPr>
          <w:szCs w:val="24"/>
        </w:rPr>
        <w:t xml:space="preserve"> service</w:t>
      </w:r>
      <w:r w:rsidR="00E874ED" w:rsidRPr="00350442">
        <w:rPr>
          <w:szCs w:val="24"/>
        </w:rPr>
        <w:t>s</w:t>
      </w:r>
      <w:r w:rsidR="00E04CB5" w:rsidRPr="00350442">
        <w:rPr>
          <w:szCs w:val="24"/>
        </w:rPr>
        <w:t xml:space="preserve"> and although it is a similarly sized parcel of </w:t>
      </w:r>
      <w:r w:rsidR="008172BB" w:rsidRPr="00350442">
        <w:rPr>
          <w:szCs w:val="24"/>
        </w:rPr>
        <w:t>pastureland</w:t>
      </w:r>
      <w:r w:rsidR="00350442" w:rsidRPr="00350442">
        <w:rPr>
          <w:szCs w:val="24"/>
        </w:rPr>
        <w:t xml:space="preserve"> he</w:t>
      </w:r>
      <w:r w:rsidR="00457BA3" w:rsidRPr="00350442">
        <w:rPr>
          <w:szCs w:val="24"/>
        </w:rPr>
        <w:t xml:space="preserve"> consider</w:t>
      </w:r>
      <w:r w:rsidR="00350442" w:rsidRPr="00350442">
        <w:rPr>
          <w:szCs w:val="24"/>
        </w:rPr>
        <w:t>s it</w:t>
      </w:r>
      <w:r w:rsidR="00457BA3" w:rsidRPr="00350442">
        <w:rPr>
          <w:szCs w:val="24"/>
        </w:rPr>
        <w:t xml:space="preserve"> inferior overall</w:t>
      </w:r>
      <w:r w:rsidR="00350442" w:rsidRPr="00350442">
        <w:rPr>
          <w:szCs w:val="24"/>
        </w:rPr>
        <w:t>.</w:t>
      </w:r>
      <w:r w:rsidR="00563D7E">
        <w:rPr>
          <w:szCs w:val="24"/>
        </w:rPr>
        <w:t xml:space="preserve">   He notes that it was sold without </w:t>
      </w:r>
      <w:r w:rsidR="001E3263">
        <w:rPr>
          <w:szCs w:val="24"/>
        </w:rPr>
        <w:t xml:space="preserve">agricultural subsidy </w:t>
      </w:r>
      <w:r w:rsidR="00371904">
        <w:rPr>
          <w:szCs w:val="24"/>
        </w:rPr>
        <w:t>entitlement</w:t>
      </w:r>
      <w:r w:rsidR="001E3263">
        <w:rPr>
          <w:szCs w:val="24"/>
        </w:rPr>
        <w:t>s</w:t>
      </w:r>
      <w:r w:rsidR="00E71278">
        <w:rPr>
          <w:szCs w:val="24"/>
        </w:rPr>
        <w:t xml:space="preserve"> which </w:t>
      </w:r>
      <w:r w:rsidR="00523EFD">
        <w:rPr>
          <w:szCs w:val="24"/>
        </w:rPr>
        <w:t>potentially reduce</w:t>
      </w:r>
      <w:r w:rsidR="0082210E">
        <w:rPr>
          <w:szCs w:val="24"/>
        </w:rPr>
        <w:t>d</w:t>
      </w:r>
      <w:r w:rsidR="00523EFD">
        <w:rPr>
          <w:szCs w:val="24"/>
        </w:rPr>
        <w:t xml:space="preserve"> the value of the land.</w:t>
      </w:r>
      <w:r w:rsidR="0082210E">
        <w:rPr>
          <w:szCs w:val="24"/>
        </w:rPr>
        <w:t xml:space="preserve"> </w:t>
      </w:r>
      <w:r w:rsidR="002A4681">
        <w:rPr>
          <w:szCs w:val="24"/>
        </w:rPr>
        <w:t xml:space="preserve">Neither </w:t>
      </w:r>
      <w:r w:rsidR="00CB1DCB">
        <w:rPr>
          <w:szCs w:val="24"/>
        </w:rPr>
        <w:t>expert provided any evidence of such</w:t>
      </w:r>
      <w:r w:rsidR="0082210E">
        <w:rPr>
          <w:szCs w:val="24"/>
        </w:rPr>
        <w:t xml:space="preserve"> subsidy entitlements associated with the grazing lan</w:t>
      </w:r>
      <w:r w:rsidR="00CB1DCB">
        <w:rPr>
          <w:szCs w:val="24"/>
        </w:rPr>
        <w:t>d.</w:t>
      </w:r>
    </w:p>
    <w:p w14:paraId="21245CF1" w14:textId="6DBFD3EB" w:rsidR="00170B7B" w:rsidRPr="00600578" w:rsidRDefault="00C41D24" w:rsidP="00280B0A">
      <w:pPr>
        <w:spacing w:after="360" w:line="259" w:lineRule="auto"/>
        <w:ind w:left="720" w:hanging="720"/>
        <w:jc w:val="both"/>
        <w:rPr>
          <w:szCs w:val="24"/>
        </w:rPr>
      </w:pPr>
      <w:r>
        <w:rPr>
          <w:szCs w:val="24"/>
        </w:rPr>
        <w:t>7</w:t>
      </w:r>
      <w:r w:rsidR="00BA1359">
        <w:rPr>
          <w:szCs w:val="24"/>
        </w:rPr>
        <w:t>3</w:t>
      </w:r>
      <w:r w:rsidR="00280B0A">
        <w:rPr>
          <w:szCs w:val="24"/>
        </w:rPr>
        <w:t>.</w:t>
      </w:r>
      <w:r w:rsidR="00280B0A">
        <w:rPr>
          <w:szCs w:val="24"/>
        </w:rPr>
        <w:tab/>
      </w:r>
      <w:r w:rsidR="005E207D" w:rsidRPr="00600578">
        <w:rPr>
          <w:szCs w:val="24"/>
        </w:rPr>
        <w:t>The land at Kingsway, Gately is a s</w:t>
      </w:r>
      <w:r w:rsidR="00170B7B" w:rsidRPr="00600578">
        <w:rPr>
          <w:szCs w:val="24"/>
        </w:rPr>
        <w:t xml:space="preserve">maller parcel located in a </w:t>
      </w:r>
      <w:r w:rsidR="006B716B" w:rsidRPr="00600578">
        <w:rPr>
          <w:szCs w:val="24"/>
        </w:rPr>
        <w:t xml:space="preserve">similar </w:t>
      </w:r>
      <w:r w:rsidR="00170B7B" w:rsidRPr="00600578">
        <w:rPr>
          <w:szCs w:val="24"/>
        </w:rPr>
        <w:t>urban fringe location. The land offers inferior rural amenit</w:t>
      </w:r>
      <w:r w:rsidR="006B716B" w:rsidRPr="00600578">
        <w:rPr>
          <w:szCs w:val="24"/>
        </w:rPr>
        <w:t>y</w:t>
      </w:r>
      <w:r w:rsidR="00EB6D1F" w:rsidRPr="00600578">
        <w:rPr>
          <w:szCs w:val="24"/>
        </w:rPr>
        <w:t xml:space="preserve">, poorer </w:t>
      </w:r>
      <w:r w:rsidR="00170B7B" w:rsidRPr="00600578">
        <w:rPr>
          <w:szCs w:val="24"/>
        </w:rPr>
        <w:t xml:space="preserve">access </w:t>
      </w:r>
      <w:r w:rsidR="00EB6D1F" w:rsidRPr="00600578">
        <w:rPr>
          <w:szCs w:val="24"/>
        </w:rPr>
        <w:t xml:space="preserve">and was in a worse </w:t>
      </w:r>
      <w:r w:rsidR="00170B7B" w:rsidRPr="00600578">
        <w:rPr>
          <w:szCs w:val="24"/>
        </w:rPr>
        <w:t xml:space="preserve">condition </w:t>
      </w:r>
      <w:r w:rsidR="00EB6D1F" w:rsidRPr="00600578">
        <w:rPr>
          <w:szCs w:val="24"/>
        </w:rPr>
        <w:t>th</w:t>
      </w:r>
      <w:r w:rsidR="002734A0" w:rsidRPr="00600578">
        <w:rPr>
          <w:szCs w:val="24"/>
        </w:rPr>
        <w:t xml:space="preserve">an the grazing land.  Mr Church’s view is that </w:t>
      </w:r>
      <w:r w:rsidR="000F4FF4" w:rsidRPr="00600578">
        <w:rPr>
          <w:szCs w:val="24"/>
        </w:rPr>
        <w:t>this parcel is i</w:t>
      </w:r>
      <w:r w:rsidR="00170B7B" w:rsidRPr="00600578">
        <w:rPr>
          <w:szCs w:val="24"/>
        </w:rPr>
        <w:t>nferior on a bare land basis</w:t>
      </w:r>
      <w:r w:rsidR="000F4FF4" w:rsidRPr="00600578">
        <w:rPr>
          <w:szCs w:val="24"/>
        </w:rPr>
        <w:t>.</w:t>
      </w:r>
    </w:p>
    <w:p w14:paraId="0E3D4F20" w14:textId="6ABCA9A3" w:rsidR="00170B7B" w:rsidRPr="00954BED" w:rsidRDefault="00BA1359" w:rsidP="00280B0A">
      <w:pPr>
        <w:spacing w:after="360" w:line="259" w:lineRule="auto"/>
        <w:ind w:left="720" w:hanging="720"/>
        <w:jc w:val="both"/>
        <w:rPr>
          <w:szCs w:val="24"/>
        </w:rPr>
      </w:pPr>
      <w:r>
        <w:rPr>
          <w:szCs w:val="24"/>
        </w:rPr>
        <w:t>74</w:t>
      </w:r>
      <w:r w:rsidR="00280B0A">
        <w:rPr>
          <w:szCs w:val="24"/>
        </w:rPr>
        <w:t>.</w:t>
      </w:r>
      <w:r w:rsidR="00280B0A">
        <w:rPr>
          <w:szCs w:val="24"/>
        </w:rPr>
        <w:tab/>
      </w:r>
      <w:r w:rsidR="00250D75" w:rsidRPr="00954BED">
        <w:rPr>
          <w:szCs w:val="24"/>
        </w:rPr>
        <w:t xml:space="preserve">Lot 4 </w:t>
      </w:r>
      <w:proofErr w:type="spellStart"/>
      <w:r w:rsidR="00250D75" w:rsidRPr="00954BED">
        <w:rPr>
          <w:szCs w:val="24"/>
        </w:rPr>
        <w:t>Orrell</w:t>
      </w:r>
      <w:proofErr w:type="spellEnd"/>
      <w:r w:rsidR="00250D75" w:rsidRPr="00954BED">
        <w:rPr>
          <w:szCs w:val="24"/>
        </w:rPr>
        <w:t xml:space="preserve"> House Farm, Mobberley is a s</w:t>
      </w:r>
      <w:r w:rsidR="00170B7B" w:rsidRPr="00954BED">
        <w:rPr>
          <w:szCs w:val="24"/>
        </w:rPr>
        <w:t xml:space="preserve">maller parcel, put to permanent pasture. </w:t>
      </w:r>
      <w:r w:rsidR="00250D75" w:rsidRPr="00954BED">
        <w:rPr>
          <w:szCs w:val="24"/>
        </w:rPr>
        <w:t xml:space="preserve">Mr Church considers </w:t>
      </w:r>
      <w:r w:rsidR="00675D6F" w:rsidRPr="00954BED">
        <w:rPr>
          <w:szCs w:val="24"/>
        </w:rPr>
        <w:t>it to</w:t>
      </w:r>
      <w:r w:rsidR="00E15B42">
        <w:rPr>
          <w:szCs w:val="24"/>
        </w:rPr>
        <w:t xml:space="preserve"> be</w:t>
      </w:r>
      <w:r w:rsidR="00675D6F" w:rsidRPr="00954BED">
        <w:rPr>
          <w:szCs w:val="24"/>
        </w:rPr>
        <w:t xml:space="preserve"> i</w:t>
      </w:r>
      <w:r w:rsidR="00170B7B" w:rsidRPr="00954BED">
        <w:rPr>
          <w:szCs w:val="24"/>
        </w:rPr>
        <w:t xml:space="preserve">n an inferior location, </w:t>
      </w:r>
      <w:r w:rsidR="00675D6F" w:rsidRPr="00954BED">
        <w:rPr>
          <w:szCs w:val="24"/>
        </w:rPr>
        <w:t>but it has</w:t>
      </w:r>
      <w:r w:rsidR="00170B7B" w:rsidRPr="00954BED">
        <w:rPr>
          <w:szCs w:val="24"/>
        </w:rPr>
        <w:t xml:space="preserve"> superior rural amenity. The land </w:t>
      </w:r>
      <w:r w:rsidR="00675D6F" w:rsidRPr="00954BED">
        <w:rPr>
          <w:szCs w:val="24"/>
        </w:rPr>
        <w:t xml:space="preserve">is </w:t>
      </w:r>
      <w:r w:rsidR="00170B7B" w:rsidRPr="00954BED">
        <w:rPr>
          <w:szCs w:val="24"/>
        </w:rPr>
        <w:t>without services and considered inferior overall</w:t>
      </w:r>
      <w:r w:rsidR="00675D6F" w:rsidRPr="00954BED">
        <w:rPr>
          <w:szCs w:val="24"/>
        </w:rPr>
        <w:t>.</w:t>
      </w:r>
      <w:r w:rsidR="0082210E">
        <w:rPr>
          <w:szCs w:val="24"/>
        </w:rPr>
        <w:t xml:space="preserve"> </w:t>
      </w:r>
    </w:p>
    <w:p w14:paraId="0C5A49AE" w14:textId="0C72A2D4" w:rsidR="00170B7B" w:rsidRPr="00954BED" w:rsidRDefault="00BA1359" w:rsidP="00BF1679">
      <w:pPr>
        <w:spacing w:after="360" w:line="259" w:lineRule="auto"/>
        <w:ind w:left="720" w:hanging="720"/>
        <w:jc w:val="both"/>
        <w:rPr>
          <w:szCs w:val="24"/>
        </w:rPr>
      </w:pPr>
      <w:r>
        <w:rPr>
          <w:szCs w:val="24"/>
        </w:rPr>
        <w:t>75</w:t>
      </w:r>
      <w:r w:rsidR="00280B0A">
        <w:rPr>
          <w:szCs w:val="24"/>
        </w:rPr>
        <w:t>.</w:t>
      </w:r>
      <w:r w:rsidR="00280B0A">
        <w:rPr>
          <w:szCs w:val="24"/>
        </w:rPr>
        <w:tab/>
      </w:r>
      <w:r w:rsidR="00BF1679">
        <w:rPr>
          <w:szCs w:val="24"/>
        </w:rPr>
        <w:t>The l</w:t>
      </w:r>
      <w:r w:rsidR="00675D6F" w:rsidRPr="00954BED">
        <w:rPr>
          <w:szCs w:val="24"/>
        </w:rPr>
        <w:t>and off Congleton Road, Nether Alderley was p</w:t>
      </w:r>
      <w:r w:rsidR="00170B7B" w:rsidRPr="00954BED">
        <w:rPr>
          <w:szCs w:val="24"/>
        </w:rPr>
        <w:t xml:space="preserve">urchased by Cheshire East Council to protect </w:t>
      </w:r>
      <w:r w:rsidR="00675D6F" w:rsidRPr="00954BED">
        <w:rPr>
          <w:szCs w:val="24"/>
        </w:rPr>
        <w:t xml:space="preserve">it </w:t>
      </w:r>
      <w:r w:rsidR="00170B7B" w:rsidRPr="00954BED">
        <w:rPr>
          <w:szCs w:val="24"/>
        </w:rPr>
        <w:t xml:space="preserve">from future development. </w:t>
      </w:r>
      <w:r w:rsidR="00CC3FBA">
        <w:rPr>
          <w:szCs w:val="24"/>
        </w:rPr>
        <w:t xml:space="preserve"> </w:t>
      </w:r>
      <w:r w:rsidR="00170B7B" w:rsidRPr="00954BED">
        <w:rPr>
          <w:szCs w:val="24"/>
        </w:rPr>
        <w:t>Considered superior overall</w:t>
      </w:r>
      <w:r w:rsidR="001968DC" w:rsidRPr="00954BED">
        <w:rPr>
          <w:szCs w:val="24"/>
        </w:rPr>
        <w:t xml:space="preserve"> by Mr Church as it has a better location and offer</w:t>
      </w:r>
      <w:r w:rsidR="00954BED" w:rsidRPr="00954BED">
        <w:rPr>
          <w:szCs w:val="24"/>
        </w:rPr>
        <w:t>s</w:t>
      </w:r>
      <w:r w:rsidR="001968DC" w:rsidRPr="00954BED">
        <w:rPr>
          <w:szCs w:val="24"/>
        </w:rPr>
        <w:t xml:space="preserve"> superior rural amenity.</w:t>
      </w:r>
    </w:p>
    <w:p w14:paraId="01AE4E57" w14:textId="5B3A3BF3" w:rsidR="008B0872" w:rsidRPr="006421DE" w:rsidRDefault="00BA1359" w:rsidP="00BF1679">
      <w:pPr>
        <w:spacing w:after="360" w:line="259" w:lineRule="auto"/>
        <w:ind w:left="720" w:hanging="720"/>
        <w:jc w:val="both"/>
        <w:rPr>
          <w:szCs w:val="24"/>
        </w:rPr>
      </w:pPr>
      <w:r>
        <w:rPr>
          <w:szCs w:val="24"/>
        </w:rPr>
        <w:t>76</w:t>
      </w:r>
      <w:r w:rsidR="00BF1679">
        <w:rPr>
          <w:szCs w:val="24"/>
        </w:rPr>
        <w:t>.</w:t>
      </w:r>
      <w:r w:rsidR="00BF1679">
        <w:rPr>
          <w:szCs w:val="24"/>
        </w:rPr>
        <w:tab/>
      </w:r>
      <w:r w:rsidR="008929F6">
        <w:rPr>
          <w:szCs w:val="24"/>
        </w:rPr>
        <w:t>Taking these transactions into account Mr Church</w:t>
      </w:r>
      <w:r w:rsidR="008B0872" w:rsidRPr="006421DE">
        <w:rPr>
          <w:szCs w:val="24"/>
        </w:rPr>
        <w:t xml:space="preserve"> arrive</w:t>
      </w:r>
      <w:r w:rsidR="00B829B4">
        <w:rPr>
          <w:szCs w:val="24"/>
        </w:rPr>
        <w:t>d</w:t>
      </w:r>
      <w:r w:rsidR="008B0872" w:rsidRPr="006421DE">
        <w:rPr>
          <w:szCs w:val="24"/>
        </w:rPr>
        <w:t xml:space="preserve"> at the value of £10,000 per acre with a total for the 9.224 acres of £92,240 which he </w:t>
      </w:r>
      <w:r w:rsidR="00B829B4">
        <w:rPr>
          <w:szCs w:val="24"/>
        </w:rPr>
        <w:t xml:space="preserve">rounded </w:t>
      </w:r>
      <w:r w:rsidR="008B0872" w:rsidRPr="006421DE">
        <w:rPr>
          <w:szCs w:val="24"/>
        </w:rPr>
        <w:t>up to £95,000.</w:t>
      </w:r>
    </w:p>
    <w:p w14:paraId="2C9DF472" w14:textId="4480E354" w:rsidR="00EB16C1" w:rsidRPr="00EB16C1" w:rsidRDefault="006421DE" w:rsidP="006421DE">
      <w:pPr>
        <w:spacing w:after="360" w:line="259" w:lineRule="auto"/>
        <w:jc w:val="both"/>
        <w:rPr>
          <w:i/>
          <w:iCs/>
          <w:szCs w:val="24"/>
        </w:rPr>
      </w:pPr>
      <w:r w:rsidRPr="00EB16C1">
        <w:rPr>
          <w:i/>
          <w:iCs/>
          <w:szCs w:val="24"/>
        </w:rPr>
        <w:t>Discuss</w:t>
      </w:r>
      <w:r w:rsidR="00EB16C1" w:rsidRPr="00EB16C1">
        <w:rPr>
          <w:i/>
          <w:iCs/>
          <w:szCs w:val="24"/>
        </w:rPr>
        <w:t xml:space="preserve">ion – </w:t>
      </w:r>
      <w:r w:rsidR="00335FDD">
        <w:rPr>
          <w:i/>
          <w:iCs/>
          <w:szCs w:val="24"/>
        </w:rPr>
        <w:t xml:space="preserve">Grazing Land </w:t>
      </w:r>
      <w:r w:rsidR="00EB16C1" w:rsidRPr="00EB16C1">
        <w:rPr>
          <w:i/>
          <w:iCs/>
          <w:szCs w:val="24"/>
        </w:rPr>
        <w:t>Valuation Evidence</w:t>
      </w:r>
    </w:p>
    <w:p w14:paraId="37231363" w14:textId="08F12A14" w:rsidR="00FE41CF" w:rsidRDefault="008134BB" w:rsidP="00BF1679">
      <w:pPr>
        <w:spacing w:after="360" w:line="259" w:lineRule="auto"/>
        <w:ind w:left="720" w:hanging="720"/>
        <w:jc w:val="both"/>
        <w:rPr>
          <w:szCs w:val="24"/>
        </w:rPr>
      </w:pPr>
      <w:r>
        <w:rPr>
          <w:szCs w:val="24"/>
        </w:rPr>
        <w:t>77</w:t>
      </w:r>
      <w:r w:rsidR="00BF1679">
        <w:rPr>
          <w:szCs w:val="24"/>
        </w:rPr>
        <w:t xml:space="preserve">. </w:t>
      </w:r>
      <w:r w:rsidR="00BF1679">
        <w:rPr>
          <w:szCs w:val="24"/>
        </w:rPr>
        <w:tab/>
      </w:r>
      <w:r w:rsidR="008B0872" w:rsidRPr="006421DE">
        <w:rPr>
          <w:szCs w:val="24"/>
        </w:rPr>
        <w:t xml:space="preserve">I am presented with two </w:t>
      </w:r>
      <w:r w:rsidR="000D6176" w:rsidRPr="006421DE">
        <w:rPr>
          <w:szCs w:val="24"/>
        </w:rPr>
        <w:t>d</w:t>
      </w:r>
      <w:r w:rsidR="000D6176">
        <w:rPr>
          <w:szCs w:val="24"/>
        </w:rPr>
        <w:t>i</w:t>
      </w:r>
      <w:r w:rsidR="000D6176" w:rsidRPr="006421DE">
        <w:rPr>
          <w:szCs w:val="24"/>
        </w:rPr>
        <w:t>sparate</w:t>
      </w:r>
      <w:r w:rsidR="008B0872" w:rsidRPr="006421DE">
        <w:rPr>
          <w:szCs w:val="24"/>
        </w:rPr>
        <w:t xml:space="preserve"> approaches.  Mr Coulson clearly knows the local market, but his analysis lacks focus.  </w:t>
      </w:r>
      <w:r w:rsidR="0060046E">
        <w:rPr>
          <w:szCs w:val="24"/>
        </w:rPr>
        <w:t>Most tellingly</w:t>
      </w:r>
      <w:r w:rsidR="000D6176">
        <w:rPr>
          <w:szCs w:val="24"/>
        </w:rPr>
        <w:t>,</w:t>
      </w:r>
      <w:r w:rsidR="0060046E">
        <w:rPr>
          <w:szCs w:val="24"/>
        </w:rPr>
        <w:t xml:space="preserve"> h</w:t>
      </w:r>
      <w:r w:rsidR="008B0872" w:rsidRPr="006421DE">
        <w:rPr>
          <w:szCs w:val="24"/>
        </w:rPr>
        <w:t xml:space="preserve">is long list of comparable transactions </w:t>
      </w:r>
      <w:r w:rsidR="0060046E">
        <w:rPr>
          <w:szCs w:val="24"/>
        </w:rPr>
        <w:t>lacks an</w:t>
      </w:r>
      <w:r w:rsidR="00573B06">
        <w:rPr>
          <w:szCs w:val="24"/>
        </w:rPr>
        <w:t xml:space="preserve"> appraisal of </w:t>
      </w:r>
      <w:r w:rsidR="00FA7A9C">
        <w:rPr>
          <w:szCs w:val="24"/>
        </w:rPr>
        <w:t xml:space="preserve">each site’s </w:t>
      </w:r>
      <w:r w:rsidR="0078244B" w:rsidRPr="006421DE">
        <w:rPr>
          <w:szCs w:val="24"/>
        </w:rPr>
        <w:t xml:space="preserve">prospects for release from the </w:t>
      </w:r>
      <w:r w:rsidR="0082210E">
        <w:rPr>
          <w:szCs w:val="24"/>
        </w:rPr>
        <w:t xml:space="preserve">restrictions </w:t>
      </w:r>
      <w:r w:rsidR="0078244B" w:rsidRPr="006421DE">
        <w:rPr>
          <w:szCs w:val="24"/>
        </w:rPr>
        <w:t xml:space="preserve">of </w:t>
      </w:r>
      <w:r w:rsidR="00B36209">
        <w:rPr>
          <w:szCs w:val="24"/>
        </w:rPr>
        <w:t>g</w:t>
      </w:r>
      <w:r w:rsidR="0078244B" w:rsidRPr="006421DE">
        <w:rPr>
          <w:szCs w:val="24"/>
        </w:rPr>
        <w:t>reen</w:t>
      </w:r>
      <w:r w:rsidR="0078244B">
        <w:rPr>
          <w:szCs w:val="24"/>
        </w:rPr>
        <w:t xml:space="preserve"> </w:t>
      </w:r>
      <w:r w:rsidR="00B36209">
        <w:rPr>
          <w:szCs w:val="24"/>
        </w:rPr>
        <w:t>b</w:t>
      </w:r>
      <w:r w:rsidR="0078244B" w:rsidRPr="006421DE">
        <w:rPr>
          <w:szCs w:val="24"/>
        </w:rPr>
        <w:t>elt status</w:t>
      </w:r>
      <w:r w:rsidR="0078244B">
        <w:rPr>
          <w:szCs w:val="24"/>
        </w:rPr>
        <w:t xml:space="preserve"> </w:t>
      </w:r>
      <w:r w:rsidR="0082210E">
        <w:rPr>
          <w:szCs w:val="24"/>
        </w:rPr>
        <w:t xml:space="preserve">or of </w:t>
      </w:r>
      <w:r w:rsidR="000D1EA5">
        <w:rPr>
          <w:szCs w:val="24"/>
        </w:rPr>
        <w:t xml:space="preserve">how </w:t>
      </w:r>
      <w:r w:rsidR="006D19B5">
        <w:rPr>
          <w:szCs w:val="24"/>
        </w:rPr>
        <w:t xml:space="preserve">this would have informed the value </w:t>
      </w:r>
      <w:r w:rsidR="00CC44F5">
        <w:rPr>
          <w:szCs w:val="24"/>
        </w:rPr>
        <w:t>achieved</w:t>
      </w:r>
      <w:r w:rsidR="006D19B5">
        <w:rPr>
          <w:szCs w:val="24"/>
        </w:rPr>
        <w:t>.</w:t>
      </w:r>
      <w:r w:rsidR="00FA7A9C">
        <w:rPr>
          <w:szCs w:val="24"/>
        </w:rPr>
        <w:t xml:space="preserve"> </w:t>
      </w:r>
      <w:r w:rsidR="008B0872" w:rsidRPr="006421DE">
        <w:rPr>
          <w:szCs w:val="24"/>
        </w:rPr>
        <w:t xml:space="preserve">  </w:t>
      </w:r>
      <w:r w:rsidR="00CC44F5">
        <w:rPr>
          <w:szCs w:val="24"/>
        </w:rPr>
        <w:t>Without th</w:t>
      </w:r>
      <w:r w:rsidR="008251EE">
        <w:rPr>
          <w:szCs w:val="24"/>
        </w:rPr>
        <w:t>at</w:t>
      </w:r>
      <w:r w:rsidR="00CC44F5">
        <w:rPr>
          <w:szCs w:val="24"/>
        </w:rPr>
        <w:t xml:space="preserve"> i</w:t>
      </w:r>
      <w:r w:rsidR="00DC357A">
        <w:rPr>
          <w:szCs w:val="24"/>
        </w:rPr>
        <w:t xml:space="preserve">nsight I have </w:t>
      </w:r>
      <w:r w:rsidR="008B0872" w:rsidRPr="006421DE">
        <w:rPr>
          <w:szCs w:val="24"/>
        </w:rPr>
        <w:t xml:space="preserve">no way </w:t>
      </w:r>
      <w:r w:rsidR="00CC44F5" w:rsidRPr="006421DE">
        <w:rPr>
          <w:szCs w:val="24"/>
        </w:rPr>
        <w:t>of differentiating</w:t>
      </w:r>
      <w:r w:rsidR="008B0872" w:rsidRPr="006421DE">
        <w:rPr>
          <w:szCs w:val="24"/>
        </w:rPr>
        <w:t xml:space="preserve"> the useful from the superfluous.  The </w:t>
      </w:r>
      <w:r w:rsidR="00CE4882">
        <w:rPr>
          <w:szCs w:val="24"/>
        </w:rPr>
        <w:t xml:space="preserve">sale of land at Towers </w:t>
      </w:r>
      <w:r w:rsidR="00D2646C">
        <w:rPr>
          <w:szCs w:val="24"/>
        </w:rPr>
        <w:t>R</w:t>
      </w:r>
      <w:r w:rsidR="00CE4882">
        <w:rPr>
          <w:szCs w:val="24"/>
        </w:rPr>
        <w:t>oad, Poynton</w:t>
      </w:r>
      <w:r w:rsidR="00FD711F">
        <w:rPr>
          <w:szCs w:val="24"/>
        </w:rPr>
        <w:t xml:space="preserve"> is the </w:t>
      </w:r>
      <w:r w:rsidR="008B0872" w:rsidRPr="006421DE">
        <w:rPr>
          <w:szCs w:val="24"/>
        </w:rPr>
        <w:t xml:space="preserve">transaction upon which he places most </w:t>
      </w:r>
      <w:r w:rsidR="00B9606F" w:rsidRPr="006421DE">
        <w:rPr>
          <w:szCs w:val="24"/>
        </w:rPr>
        <w:t>weight,</w:t>
      </w:r>
      <w:r w:rsidR="0009640E">
        <w:rPr>
          <w:szCs w:val="24"/>
        </w:rPr>
        <w:t xml:space="preserve"> but</w:t>
      </w:r>
      <w:r w:rsidR="00FD711F">
        <w:rPr>
          <w:szCs w:val="24"/>
        </w:rPr>
        <w:t xml:space="preserve"> </w:t>
      </w:r>
      <w:r w:rsidR="0082210E">
        <w:rPr>
          <w:szCs w:val="24"/>
        </w:rPr>
        <w:t>it was a</w:t>
      </w:r>
      <w:r w:rsidR="00A64DD9">
        <w:rPr>
          <w:szCs w:val="24"/>
        </w:rPr>
        <w:t xml:space="preserve"> sale to </w:t>
      </w:r>
      <w:r w:rsidR="00F34378">
        <w:rPr>
          <w:szCs w:val="24"/>
        </w:rPr>
        <w:t xml:space="preserve">a </w:t>
      </w:r>
      <w:r w:rsidR="0082210E">
        <w:rPr>
          <w:szCs w:val="24"/>
        </w:rPr>
        <w:t xml:space="preserve">special purchaser and </w:t>
      </w:r>
      <w:r w:rsidR="008B0872" w:rsidRPr="006421DE">
        <w:rPr>
          <w:szCs w:val="24"/>
        </w:rPr>
        <w:t xml:space="preserve">is </w:t>
      </w:r>
      <w:r w:rsidR="00010A38">
        <w:rPr>
          <w:szCs w:val="24"/>
        </w:rPr>
        <w:t xml:space="preserve">in my view </w:t>
      </w:r>
      <w:r w:rsidR="00CE4882">
        <w:rPr>
          <w:szCs w:val="24"/>
        </w:rPr>
        <w:t>unreliable</w:t>
      </w:r>
      <w:r w:rsidR="00480403">
        <w:rPr>
          <w:szCs w:val="24"/>
        </w:rPr>
        <w:t xml:space="preserve">.   Similarly, I am not convinced </w:t>
      </w:r>
      <w:r w:rsidR="00D222B2">
        <w:rPr>
          <w:szCs w:val="24"/>
        </w:rPr>
        <w:t xml:space="preserve">that Mr Coulson’s conclusion that </w:t>
      </w:r>
      <w:r w:rsidR="00D24607">
        <w:rPr>
          <w:szCs w:val="24"/>
        </w:rPr>
        <w:t xml:space="preserve">there has </w:t>
      </w:r>
      <w:r w:rsidR="00725C40">
        <w:rPr>
          <w:szCs w:val="24"/>
        </w:rPr>
        <w:t xml:space="preserve">not </w:t>
      </w:r>
      <w:r w:rsidR="00D24607">
        <w:rPr>
          <w:szCs w:val="24"/>
        </w:rPr>
        <w:t xml:space="preserve">been </w:t>
      </w:r>
      <w:r w:rsidR="00D4469E">
        <w:rPr>
          <w:szCs w:val="24"/>
        </w:rPr>
        <w:t>any growth</w:t>
      </w:r>
      <w:r w:rsidR="00D24607">
        <w:rPr>
          <w:szCs w:val="24"/>
        </w:rPr>
        <w:t xml:space="preserve"> in values </w:t>
      </w:r>
      <w:r w:rsidR="0016408C">
        <w:rPr>
          <w:szCs w:val="24"/>
        </w:rPr>
        <w:t xml:space="preserve">between </w:t>
      </w:r>
      <w:r w:rsidR="00850FE8">
        <w:rPr>
          <w:szCs w:val="24"/>
        </w:rPr>
        <w:t>2015</w:t>
      </w:r>
      <w:r w:rsidR="0016408C">
        <w:rPr>
          <w:szCs w:val="24"/>
        </w:rPr>
        <w:t xml:space="preserve"> and </w:t>
      </w:r>
      <w:r w:rsidR="00800F8E">
        <w:rPr>
          <w:szCs w:val="24"/>
        </w:rPr>
        <w:t xml:space="preserve">2019 </w:t>
      </w:r>
      <w:r w:rsidR="00391EF2">
        <w:rPr>
          <w:szCs w:val="24"/>
        </w:rPr>
        <w:t>is</w:t>
      </w:r>
      <w:r w:rsidR="0082210E">
        <w:rPr>
          <w:szCs w:val="24"/>
        </w:rPr>
        <w:t xml:space="preserve"> justified</w:t>
      </w:r>
      <w:r w:rsidR="00391EF2">
        <w:rPr>
          <w:szCs w:val="24"/>
        </w:rPr>
        <w:t xml:space="preserve">.  </w:t>
      </w:r>
      <w:r w:rsidR="00101DBE">
        <w:rPr>
          <w:szCs w:val="24"/>
        </w:rPr>
        <w:t xml:space="preserve">He takes this view on the strength of </w:t>
      </w:r>
      <w:r w:rsidR="00777904">
        <w:rPr>
          <w:szCs w:val="24"/>
        </w:rPr>
        <w:t xml:space="preserve">a comparison between a settlement relating to a </w:t>
      </w:r>
      <w:r w:rsidR="00777904">
        <w:rPr>
          <w:szCs w:val="24"/>
        </w:rPr>
        <w:lastRenderedPageBreak/>
        <w:t xml:space="preserve">compulsory </w:t>
      </w:r>
      <w:r w:rsidR="00DD3F34">
        <w:rPr>
          <w:szCs w:val="24"/>
        </w:rPr>
        <w:t xml:space="preserve">acquisition and </w:t>
      </w:r>
      <w:r w:rsidR="0082210E">
        <w:rPr>
          <w:szCs w:val="24"/>
        </w:rPr>
        <w:t xml:space="preserve">a sale of </w:t>
      </w:r>
      <w:r w:rsidR="006E5BF9">
        <w:rPr>
          <w:szCs w:val="24"/>
        </w:rPr>
        <w:t xml:space="preserve">equestrian land </w:t>
      </w:r>
      <w:r w:rsidR="0082210E">
        <w:rPr>
          <w:szCs w:val="24"/>
        </w:rPr>
        <w:t xml:space="preserve">and </w:t>
      </w:r>
      <w:r w:rsidR="006E5BF9">
        <w:rPr>
          <w:szCs w:val="24"/>
        </w:rPr>
        <w:t xml:space="preserve">buildings </w:t>
      </w:r>
      <w:r w:rsidR="0082210E">
        <w:rPr>
          <w:szCs w:val="24"/>
        </w:rPr>
        <w:t>with</w:t>
      </w:r>
      <w:r w:rsidR="006E5BF9">
        <w:rPr>
          <w:szCs w:val="24"/>
        </w:rPr>
        <w:t xml:space="preserve"> planning consent for a complimentary use.</w:t>
      </w:r>
      <w:r w:rsidR="0099547B">
        <w:rPr>
          <w:szCs w:val="24"/>
        </w:rPr>
        <w:t xml:space="preserve">   </w:t>
      </w:r>
      <w:r w:rsidR="008B2A73">
        <w:rPr>
          <w:szCs w:val="24"/>
        </w:rPr>
        <w:t xml:space="preserve">The fact that </w:t>
      </w:r>
      <w:r w:rsidR="00025747">
        <w:rPr>
          <w:szCs w:val="24"/>
        </w:rPr>
        <w:t>the two sites have the highest anal</w:t>
      </w:r>
      <w:r w:rsidR="00931F9D">
        <w:rPr>
          <w:szCs w:val="24"/>
        </w:rPr>
        <w:t>yse</w:t>
      </w:r>
      <w:r w:rsidR="00AA1B5E">
        <w:rPr>
          <w:szCs w:val="24"/>
        </w:rPr>
        <w:t xml:space="preserve">d </w:t>
      </w:r>
      <w:r w:rsidR="00276F15">
        <w:rPr>
          <w:szCs w:val="24"/>
        </w:rPr>
        <w:t>value</w:t>
      </w:r>
      <w:r w:rsidR="00AA1B5E">
        <w:rPr>
          <w:szCs w:val="24"/>
        </w:rPr>
        <w:t>s</w:t>
      </w:r>
      <w:r w:rsidR="00931F9D">
        <w:rPr>
          <w:szCs w:val="24"/>
        </w:rPr>
        <w:t xml:space="preserve"> </w:t>
      </w:r>
      <w:r w:rsidR="009E55E3">
        <w:rPr>
          <w:szCs w:val="24"/>
        </w:rPr>
        <w:t xml:space="preserve">adds to the sense that </w:t>
      </w:r>
      <w:r w:rsidR="005C47C6">
        <w:rPr>
          <w:szCs w:val="24"/>
        </w:rPr>
        <w:t>his view lacks</w:t>
      </w:r>
      <w:r w:rsidR="00931F9D">
        <w:rPr>
          <w:szCs w:val="24"/>
        </w:rPr>
        <w:t xml:space="preserve"> objectivity.</w:t>
      </w:r>
    </w:p>
    <w:p w14:paraId="17001721" w14:textId="44C5433C" w:rsidR="008B0872" w:rsidRDefault="008134BB" w:rsidP="00BF1679">
      <w:pPr>
        <w:spacing w:after="360" w:line="259" w:lineRule="auto"/>
        <w:ind w:left="720" w:hanging="720"/>
        <w:jc w:val="both"/>
        <w:rPr>
          <w:szCs w:val="24"/>
        </w:rPr>
      </w:pPr>
      <w:r>
        <w:rPr>
          <w:szCs w:val="24"/>
        </w:rPr>
        <w:t>78</w:t>
      </w:r>
      <w:r w:rsidR="00BF1679">
        <w:rPr>
          <w:szCs w:val="24"/>
        </w:rPr>
        <w:t>.</w:t>
      </w:r>
      <w:r w:rsidR="00BF1679">
        <w:rPr>
          <w:szCs w:val="24"/>
        </w:rPr>
        <w:tab/>
      </w:r>
      <w:r w:rsidR="008B0872" w:rsidRPr="006421DE">
        <w:rPr>
          <w:szCs w:val="24"/>
        </w:rPr>
        <w:t>Mr Church on the other hand</w:t>
      </w:r>
      <w:r w:rsidR="000B19DF">
        <w:rPr>
          <w:szCs w:val="24"/>
        </w:rPr>
        <w:t>,</w:t>
      </w:r>
      <w:r w:rsidR="008B0872" w:rsidRPr="006421DE">
        <w:rPr>
          <w:szCs w:val="24"/>
        </w:rPr>
        <w:t xml:space="preserve"> extolls the virtues of an evidence-based analysis but his dismissal of the prospects of development is almost perfunctory and largely reli</w:t>
      </w:r>
      <w:r w:rsidR="00125B99">
        <w:rPr>
          <w:szCs w:val="24"/>
        </w:rPr>
        <w:t>ant</w:t>
      </w:r>
      <w:r w:rsidR="008B0872" w:rsidRPr="006421DE">
        <w:rPr>
          <w:szCs w:val="24"/>
        </w:rPr>
        <w:t xml:space="preserve"> on Mr Bolton’s conclusions.  It is clear from the evidence before me that grazing land transacts at figures </w:t>
      </w:r>
      <w:r w:rsidR="000D150A">
        <w:rPr>
          <w:szCs w:val="24"/>
        </w:rPr>
        <w:t>higher</w:t>
      </w:r>
      <w:r w:rsidR="000D150A" w:rsidRPr="006421DE">
        <w:rPr>
          <w:szCs w:val="24"/>
        </w:rPr>
        <w:t xml:space="preserve"> than</w:t>
      </w:r>
      <w:r w:rsidR="008B0872" w:rsidRPr="006421DE">
        <w:rPr>
          <w:szCs w:val="24"/>
        </w:rPr>
        <w:t xml:space="preserve"> the level </w:t>
      </w:r>
      <w:r w:rsidR="0071485C">
        <w:rPr>
          <w:szCs w:val="24"/>
        </w:rPr>
        <w:t xml:space="preserve">adopted </w:t>
      </w:r>
      <w:r w:rsidR="008B0872" w:rsidRPr="006421DE">
        <w:rPr>
          <w:szCs w:val="24"/>
        </w:rPr>
        <w:t>by Mr Church</w:t>
      </w:r>
      <w:r w:rsidR="0071485C">
        <w:rPr>
          <w:szCs w:val="24"/>
        </w:rPr>
        <w:t xml:space="preserve"> and </w:t>
      </w:r>
      <w:r w:rsidR="00DD3F34">
        <w:rPr>
          <w:szCs w:val="24"/>
        </w:rPr>
        <w:t>in fact</w:t>
      </w:r>
      <w:r w:rsidR="0071485C">
        <w:rPr>
          <w:szCs w:val="24"/>
        </w:rPr>
        <w:t xml:space="preserve"> </w:t>
      </w:r>
      <w:r w:rsidR="004C5A34">
        <w:rPr>
          <w:szCs w:val="24"/>
        </w:rPr>
        <w:t xml:space="preserve">one of his </w:t>
      </w:r>
      <w:r w:rsidR="0093457B">
        <w:rPr>
          <w:szCs w:val="24"/>
        </w:rPr>
        <w:t xml:space="preserve">own </w:t>
      </w:r>
      <w:proofErr w:type="spellStart"/>
      <w:r w:rsidR="004C5A34">
        <w:rPr>
          <w:szCs w:val="24"/>
        </w:rPr>
        <w:t>comparable</w:t>
      </w:r>
      <w:r w:rsidR="00DD3F34">
        <w:rPr>
          <w:szCs w:val="24"/>
        </w:rPr>
        <w:t>s</w:t>
      </w:r>
      <w:proofErr w:type="spellEnd"/>
      <w:r w:rsidR="004C5A34">
        <w:rPr>
          <w:szCs w:val="24"/>
        </w:rPr>
        <w:t xml:space="preserve"> sold at more than double </w:t>
      </w:r>
      <w:r w:rsidR="002B5993">
        <w:rPr>
          <w:szCs w:val="24"/>
        </w:rPr>
        <w:t>the £10,000 per acre he adopts</w:t>
      </w:r>
      <w:r w:rsidR="00474209">
        <w:rPr>
          <w:szCs w:val="24"/>
        </w:rPr>
        <w:t xml:space="preserve"> although </w:t>
      </w:r>
      <w:r w:rsidR="006D5931">
        <w:rPr>
          <w:szCs w:val="24"/>
        </w:rPr>
        <w:t>the circumstances for that transaction were unusual.</w:t>
      </w:r>
      <w:r w:rsidR="00FB11D0">
        <w:rPr>
          <w:szCs w:val="24"/>
        </w:rPr>
        <w:t xml:space="preserve">  </w:t>
      </w:r>
      <w:r w:rsidR="00232675">
        <w:rPr>
          <w:szCs w:val="24"/>
        </w:rPr>
        <w:t xml:space="preserve">Mr Church </w:t>
      </w:r>
      <w:r w:rsidR="00FB11D0">
        <w:rPr>
          <w:szCs w:val="24"/>
        </w:rPr>
        <w:t xml:space="preserve">did not elaborate on the </w:t>
      </w:r>
      <w:r w:rsidR="006F5ADE">
        <w:rPr>
          <w:szCs w:val="24"/>
        </w:rPr>
        <w:t>details</w:t>
      </w:r>
      <w:r w:rsidR="00FB11D0">
        <w:rPr>
          <w:szCs w:val="24"/>
        </w:rPr>
        <w:t xml:space="preserve"> </w:t>
      </w:r>
      <w:r w:rsidR="002B223E">
        <w:rPr>
          <w:szCs w:val="24"/>
        </w:rPr>
        <w:t xml:space="preserve">of the </w:t>
      </w:r>
      <w:r w:rsidR="00C46779" w:rsidRPr="00C46779">
        <w:rPr>
          <w:szCs w:val="24"/>
        </w:rPr>
        <w:t xml:space="preserve">Congleton Road </w:t>
      </w:r>
      <w:r w:rsidR="00555D31">
        <w:rPr>
          <w:szCs w:val="24"/>
        </w:rPr>
        <w:t>sale,</w:t>
      </w:r>
      <w:r w:rsidR="00C46779">
        <w:rPr>
          <w:szCs w:val="24"/>
        </w:rPr>
        <w:t xml:space="preserve"> </w:t>
      </w:r>
      <w:r w:rsidR="00B768E0">
        <w:rPr>
          <w:szCs w:val="24"/>
        </w:rPr>
        <w:t>but it is reasonable to conclude that</w:t>
      </w:r>
      <w:r w:rsidR="00C46779">
        <w:rPr>
          <w:szCs w:val="24"/>
        </w:rPr>
        <w:t xml:space="preserve"> there may have been some hope value in the market price, although the purchaser may have been buying to avoid development. </w:t>
      </w:r>
      <w:r w:rsidR="003413F0">
        <w:rPr>
          <w:szCs w:val="24"/>
        </w:rPr>
        <w:t xml:space="preserve">  </w:t>
      </w:r>
    </w:p>
    <w:p w14:paraId="29F629E7" w14:textId="2FF5D25B" w:rsidR="00E24731" w:rsidRPr="006421DE" w:rsidRDefault="008134BB" w:rsidP="00390C5F">
      <w:pPr>
        <w:spacing w:after="360" w:line="259" w:lineRule="auto"/>
        <w:ind w:left="720" w:hanging="720"/>
        <w:jc w:val="both"/>
        <w:rPr>
          <w:szCs w:val="24"/>
        </w:rPr>
      </w:pPr>
      <w:r>
        <w:rPr>
          <w:szCs w:val="24"/>
        </w:rPr>
        <w:t>79</w:t>
      </w:r>
      <w:r w:rsidR="00390C5F">
        <w:rPr>
          <w:szCs w:val="24"/>
        </w:rPr>
        <w:t>.</w:t>
      </w:r>
      <w:r w:rsidR="00390C5F">
        <w:rPr>
          <w:szCs w:val="24"/>
        </w:rPr>
        <w:tab/>
      </w:r>
      <w:r w:rsidR="00F85CAC">
        <w:rPr>
          <w:szCs w:val="24"/>
        </w:rPr>
        <w:t xml:space="preserve">Neither valuer, it seems to me, </w:t>
      </w:r>
      <w:r w:rsidR="007460AC">
        <w:rPr>
          <w:szCs w:val="24"/>
        </w:rPr>
        <w:t>properly puts them</w:t>
      </w:r>
      <w:r w:rsidR="00D00AA9">
        <w:rPr>
          <w:szCs w:val="24"/>
        </w:rPr>
        <w:t>selves in the position of the prospective purchaser</w:t>
      </w:r>
      <w:r w:rsidR="00B35C4A">
        <w:rPr>
          <w:szCs w:val="24"/>
        </w:rPr>
        <w:t xml:space="preserve">.   Mr Coulson is right in his assessment that the land represents a </w:t>
      </w:r>
      <w:r w:rsidR="00566445">
        <w:rPr>
          <w:szCs w:val="24"/>
        </w:rPr>
        <w:t>low-risk</w:t>
      </w:r>
      <w:r w:rsidR="00423D19">
        <w:rPr>
          <w:szCs w:val="24"/>
        </w:rPr>
        <w:t xml:space="preserve"> proposition.   It has an underlying value as grazing land and</w:t>
      </w:r>
      <w:r w:rsidR="00A91A66">
        <w:rPr>
          <w:szCs w:val="24"/>
        </w:rPr>
        <w:t xml:space="preserve"> given the </w:t>
      </w:r>
      <w:r w:rsidR="009E5BCE">
        <w:rPr>
          <w:szCs w:val="24"/>
        </w:rPr>
        <w:t>size of the site</w:t>
      </w:r>
      <w:r w:rsidR="001164C8">
        <w:rPr>
          <w:szCs w:val="24"/>
        </w:rPr>
        <w:t>,</w:t>
      </w:r>
      <w:r w:rsidR="00A91A66">
        <w:rPr>
          <w:szCs w:val="24"/>
        </w:rPr>
        <w:t xml:space="preserve"> the </w:t>
      </w:r>
      <w:r w:rsidR="00997AC0">
        <w:rPr>
          <w:szCs w:val="24"/>
        </w:rPr>
        <w:t xml:space="preserve">modest </w:t>
      </w:r>
      <w:r w:rsidR="00A91A66">
        <w:rPr>
          <w:szCs w:val="24"/>
        </w:rPr>
        <w:t xml:space="preserve">additional </w:t>
      </w:r>
      <w:r w:rsidR="00A22E3A">
        <w:rPr>
          <w:szCs w:val="24"/>
        </w:rPr>
        <w:t>value that could be attributed to the</w:t>
      </w:r>
      <w:r w:rsidR="000D6176">
        <w:rPr>
          <w:szCs w:val="24"/>
        </w:rPr>
        <w:t xml:space="preserve"> medium to long term </w:t>
      </w:r>
      <w:r w:rsidR="00A22E3A">
        <w:rPr>
          <w:szCs w:val="24"/>
        </w:rPr>
        <w:t xml:space="preserve">possibility of </w:t>
      </w:r>
      <w:r w:rsidR="00B8532D">
        <w:rPr>
          <w:szCs w:val="24"/>
        </w:rPr>
        <w:t>development</w:t>
      </w:r>
      <w:r w:rsidR="00DB5577">
        <w:rPr>
          <w:szCs w:val="24"/>
        </w:rPr>
        <w:t xml:space="preserve"> would not </w:t>
      </w:r>
      <w:r w:rsidR="00083702">
        <w:rPr>
          <w:szCs w:val="24"/>
        </w:rPr>
        <w:t>represent</w:t>
      </w:r>
      <w:r w:rsidR="00C23049">
        <w:rPr>
          <w:szCs w:val="24"/>
        </w:rPr>
        <w:t xml:space="preserve"> a </w:t>
      </w:r>
      <w:r w:rsidR="00DB5577">
        <w:rPr>
          <w:szCs w:val="24"/>
        </w:rPr>
        <w:t xml:space="preserve">barrier to </w:t>
      </w:r>
      <w:r w:rsidR="00C23049">
        <w:rPr>
          <w:szCs w:val="24"/>
        </w:rPr>
        <w:t>a</w:t>
      </w:r>
      <w:r w:rsidR="00DB5577">
        <w:rPr>
          <w:szCs w:val="24"/>
        </w:rPr>
        <w:t xml:space="preserve"> developer</w:t>
      </w:r>
      <w:r w:rsidR="006E6803">
        <w:rPr>
          <w:szCs w:val="24"/>
        </w:rPr>
        <w:t xml:space="preserve"> </w:t>
      </w:r>
      <w:r w:rsidR="003415BC">
        <w:rPr>
          <w:szCs w:val="24"/>
        </w:rPr>
        <w:t>or speculator</w:t>
      </w:r>
      <w:r w:rsidR="003230F0">
        <w:rPr>
          <w:szCs w:val="24"/>
        </w:rPr>
        <w:t xml:space="preserve"> </w:t>
      </w:r>
      <w:r w:rsidR="00B6502B">
        <w:rPr>
          <w:szCs w:val="24"/>
        </w:rPr>
        <w:t>contemplating its purchase</w:t>
      </w:r>
      <w:r w:rsidR="00DB5577">
        <w:rPr>
          <w:szCs w:val="24"/>
        </w:rPr>
        <w:t>.</w:t>
      </w:r>
      <w:r w:rsidR="00C23049">
        <w:rPr>
          <w:szCs w:val="24"/>
        </w:rPr>
        <w:t xml:space="preserve">   There is clearly a </w:t>
      </w:r>
      <w:r w:rsidR="004E5D51">
        <w:rPr>
          <w:szCs w:val="24"/>
        </w:rPr>
        <w:t xml:space="preserve">mismatch between housing need and </w:t>
      </w:r>
      <w:r w:rsidR="00C46779">
        <w:rPr>
          <w:szCs w:val="24"/>
        </w:rPr>
        <w:t xml:space="preserve">the supply of </w:t>
      </w:r>
      <w:r w:rsidR="004E5D51">
        <w:rPr>
          <w:szCs w:val="24"/>
        </w:rPr>
        <w:t xml:space="preserve">available sites in Stockport </w:t>
      </w:r>
      <w:r w:rsidR="00365C76">
        <w:rPr>
          <w:szCs w:val="24"/>
        </w:rPr>
        <w:t xml:space="preserve">and both planning experts acknowledge that </w:t>
      </w:r>
      <w:r w:rsidR="003415BC">
        <w:rPr>
          <w:szCs w:val="24"/>
        </w:rPr>
        <w:t xml:space="preserve">green belt </w:t>
      </w:r>
      <w:r w:rsidR="008F4B73">
        <w:rPr>
          <w:szCs w:val="24"/>
        </w:rPr>
        <w:t>land w</w:t>
      </w:r>
      <w:r w:rsidR="00167103">
        <w:rPr>
          <w:szCs w:val="24"/>
        </w:rPr>
        <w:t>ill</w:t>
      </w:r>
      <w:r w:rsidR="008F4B73">
        <w:rPr>
          <w:szCs w:val="24"/>
        </w:rPr>
        <w:t xml:space="preserve"> be needed to fulfil the demand</w:t>
      </w:r>
      <w:r w:rsidR="00DF2E3C">
        <w:rPr>
          <w:szCs w:val="24"/>
        </w:rPr>
        <w:t xml:space="preserve">.    </w:t>
      </w:r>
      <w:r w:rsidR="0013609C">
        <w:rPr>
          <w:szCs w:val="24"/>
        </w:rPr>
        <w:t xml:space="preserve">I concluded earlier in this decision </w:t>
      </w:r>
      <w:r w:rsidR="00322BCB">
        <w:rPr>
          <w:szCs w:val="24"/>
        </w:rPr>
        <w:t xml:space="preserve">that </w:t>
      </w:r>
      <w:r w:rsidR="00322BCB" w:rsidRPr="003A11C8">
        <w:rPr>
          <w:rFonts w:eastAsia="Calibri"/>
          <w:spacing w:val="0"/>
          <w:szCs w:val="24"/>
        </w:rPr>
        <w:t>a prospective purchaser would include an element of hope value in his bid</w:t>
      </w:r>
      <w:r w:rsidR="00322BCB">
        <w:rPr>
          <w:szCs w:val="24"/>
        </w:rPr>
        <w:t xml:space="preserve">.   </w:t>
      </w:r>
      <w:r w:rsidR="00604399">
        <w:rPr>
          <w:szCs w:val="24"/>
        </w:rPr>
        <w:t xml:space="preserve">I have no evidence to judge how this site compares to other </w:t>
      </w:r>
      <w:r w:rsidR="00F17B8C">
        <w:rPr>
          <w:szCs w:val="24"/>
        </w:rPr>
        <w:t>g</w:t>
      </w:r>
      <w:r w:rsidR="00604399">
        <w:rPr>
          <w:szCs w:val="24"/>
        </w:rPr>
        <w:t xml:space="preserve">reen </w:t>
      </w:r>
      <w:r w:rsidR="00F17B8C">
        <w:rPr>
          <w:szCs w:val="24"/>
        </w:rPr>
        <w:t>b</w:t>
      </w:r>
      <w:r w:rsidR="00604399">
        <w:rPr>
          <w:szCs w:val="24"/>
        </w:rPr>
        <w:t xml:space="preserve">elt land in </w:t>
      </w:r>
      <w:r w:rsidR="00C92B0E">
        <w:rPr>
          <w:szCs w:val="24"/>
        </w:rPr>
        <w:t>Stockport</w:t>
      </w:r>
      <w:r w:rsidR="008D715A">
        <w:rPr>
          <w:szCs w:val="24"/>
        </w:rPr>
        <w:t xml:space="preserve"> </w:t>
      </w:r>
      <w:r w:rsidR="00604399">
        <w:rPr>
          <w:szCs w:val="24"/>
        </w:rPr>
        <w:t xml:space="preserve">but </w:t>
      </w:r>
      <w:r w:rsidR="008D715A">
        <w:rPr>
          <w:szCs w:val="24"/>
        </w:rPr>
        <w:t xml:space="preserve">in </w:t>
      </w:r>
      <w:r w:rsidR="00C321E9">
        <w:rPr>
          <w:szCs w:val="24"/>
        </w:rPr>
        <w:t xml:space="preserve">my </w:t>
      </w:r>
      <w:r w:rsidR="006B21CF">
        <w:rPr>
          <w:szCs w:val="24"/>
        </w:rPr>
        <w:t>view,</w:t>
      </w:r>
      <w:r w:rsidR="00C321E9">
        <w:rPr>
          <w:szCs w:val="24"/>
        </w:rPr>
        <w:t xml:space="preserve"> </w:t>
      </w:r>
      <w:r w:rsidR="002E1E9F">
        <w:rPr>
          <w:szCs w:val="24"/>
        </w:rPr>
        <w:t>the</w:t>
      </w:r>
      <w:r w:rsidR="0025622C">
        <w:rPr>
          <w:szCs w:val="24"/>
        </w:rPr>
        <w:t xml:space="preserve">re is a </w:t>
      </w:r>
      <w:r w:rsidR="00E47C30">
        <w:rPr>
          <w:szCs w:val="24"/>
        </w:rPr>
        <w:t xml:space="preserve">slender </w:t>
      </w:r>
      <w:r w:rsidR="0025622C">
        <w:rPr>
          <w:szCs w:val="24"/>
        </w:rPr>
        <w:t xml:space="preserve">possibility of </w:t>
      </w:r>
      <w:r w:rsidR="001C1144">
        <w:rPr>
          <w:szCs w:val="24"/>
        </w:rPr>
        <w:t>development</w:t>
      </w:r>
      <w:r w:rsidR="00DD3986">
        <w:rPr>
          <w:szCs w:val="24"/>
        </w:rPr>
        <w:t xml:space="preserve"> </w:t>
      </w:r>
      <w:r w:rsidR="00780864">
        <w:rPr>
          <w:szCs w:val="24"/>
        </w:rPr>
        <w:t>which a</w:t>
      </w:r>
      <w:r w:rsidR="00DD3986">
        <w:rPr>
          <w:szCs w:val="24"/>
        </w:rPr>
        <w:t xml:space="preserve"> prospective purchaser would recognise i</w:t>
      </w:r>
      <w:r w:rsidR="005A1212">
        <w:rPr>
          <w:szCs w:val="24"/>
        </w:rPr>
        <w:t>n their bid.</w:t>
      </w:r>
      <w:r w:rsidR="00EC745D">
        <w:rPr>
          <w:szCs w:val="24"/>
        </w:rPr>
        <w:t xml:space="preserve">   It follows that </w:t>
      </w:r>
      <w:r w:rsidR="009C5D9A">
        <w:rPr>
          <w:szCs w:val="24"/>
        </w:rPr>
        <w:t>the land is worth more than just its value as grazing</w:t>
      </w:r>
      <w:r w:rsidR="00493C8C">
        <w:rPr>
          <w:szCs w:val="24"/>
        </w:rPr>
        <w:t>.</w:t>
      </w:r>
      <w:r w:rsidR="003F4926">
        <w:rPr>
          <w:szCs w:val="24"/>
        </w:rPr>
        <w:t xml:space="preserve">   My assessment </w:t>
      </w:r>
      <w:r w:rsidR="00FB6863">
        <w:rPr>
          <w:szCs w:val="24"/>
        </w:rPr>
        <w:t xml:space="preserve">is that </w:t>
      </w:r>
      <w:r w:rsidR="006D7C55">
        <w:rPr>
          <w:szCs w:val="24"/>
        </w:rPr>
        <w:t xml:space="preserve">£20,000 </w:t>
      </w:r>
      <w:r w:rsidR="003C1249">
        <w:rPr>
          <w:szCs w:val="24"/>
        </w:rPr>
        <w:t xml:space="preserve">per acre fairly </w:t>
      </w:r>
      <w:r w:rsidR="0072529F">
        <w:rPr>
          <w:szCs w:val="24"/>
        </w:rPr>
        <w:t>represents its value.</w:t>
      </w:r>
      <w:r w:rsidR="00E27C91">
        <w:rPr>
          <w:szCs w:val="24"/>
        </w:rPr>
        <w:t xml:space="preserve">   I note that this figure falls within the </w:t>
      </w:r>
      <w:r w:rsidR="00F42206">
        <w:rPr>
          <w:szCs w:val="24"/>
        </w:rPr>
        <w:t xml:space="preserve">lower extremity of Mr Coulson’s </w:t>
      </w:r>
      <w:r w:rsidR="008D5699">
        <w:rPr>
          <w:szCs w:val="24"/>
        </w:rPr>
        <w:t xml:space="preserve">evidence </w:t>
      </w:r>
      <w:r w:rsidR="00F42206">
        <w:rPr>
          <w:szCs w:val="24"/>
        </w:rPr>
        <w:t xml:space="preserve">and the upper </w:t>
      </w:r>
      <w:r w:rsidR="008D5699">
        <w:rPr>
          <w:szCs w:val="24"/>
        </w:rPr>
        <w:t>limits of that of Mr Church.</w:t>
      </w:r>
      <w:r w:rsidR="001477A4">
        <w:rPr>
          <w:szCs w:val="24"/>
        </w:rPr>
        <w:t xml:space="preserve"> </w:t>
      </w:r>
      <w:r w:rsidR="00231AC7">
        <w:rPr>
          <w:szCs w:val="24"/>
        </w:rPr>
        <w:t xml:space="preserve">  The adoption of £20,000 per acre </w:t>
      </w:r>
      <w:r w:rsidR="00AC61A1">
        <w:rPr>
          <w:szCs w:val="24"/>
        </w:rPr>
        <w:t xml:space="preserve">results in </w:t>
      </w:r>
      <w:r w:rsidR="001477A4">
        <w:rPr>
          <w:szCs w:val="24"/>
        </w:rPr>
        <w:t xml:space="preserve">a </w:t>
      </w:r>
      <w:r w:rsidR="00AC61A1">
        <w:rPr>
          <w:szCs w:val="24"/>
        </w:rPr>
        <w:t xml:space="preserve">value of </w:t>
      </w:r>
      <w:r w:rsidR="008E3867">
        <w:rPr>
          <w:szCs w:val="24"/>
        </w:rPr>
        <w:t>£18</w:t>
      </w:r>
      <w:r w:rsidR="009B1802">
        <w:rPr>
          <w:szCs w:val="24"/>
        </w:rPr>
        <w:t>4</w:t>
      </w:r>
      <w:r w:rsidR="008E3867">
        <w:rPr>
          <w:szCs w:val="24"/>
        </w:rPr>
        <w:t>,</w:t>
      </w:r>
      <w:r w:rsidR="000200EA">
        <w:rPr>
          <w:szCs w:val="24"/>
        </w:rPr>
        <w:t>4</w:t>
      </w:r>
      <w:r w:rsidR="008E3867">
        <w:rPr>
          <w:szCs w:val="24"/>
        </w:rPr>
        <w:t>80</w:t>
      </w:r>
      <w:r w:rsidR="005F2810">
        <w:rPr>
          <w:szCs w:val="24"/>
        </w:rPr>
        <w:t xml:space="preserve"> which I round to £184,500</w:t>
      </w:r>
      <w:r w:rsidR="008E3867">
        <w:rPr>
          <w:szCs w:val="24"/>
        </w:rPr>
        <w:t>.</w:t>
      </w:r>
    </w:p>
    <w:p w14:paraId="3378D8AA" w14:textId="2738BE1A" w:rsidR="004C492F" w:rsidRDefault="004C492F" w:rsidP="00E7613F">
      <w:pPr>
        <w:pStyle w:val="Normal2"/>
        <w:spacing w:after="360"/>
        <w:jc w:val="left"/>
        <w:rPr>
          <w:b/>
          <w:bCs/>
          <w:szCs w:val="24"/>
        </w:rPr>
      </w:pPr>
      <w:r w:rsidRPr="006515ED">
        <w:rPr>
          <w:b/>
          <w:bCs/>
          <w:szCs w:val="24"/>
        </w:rPr>
        <w:t xml:space="preserve">The </w:t>
      </w:r>
      <w:r w:rsidR="006515ED">
        <w:rPr>
          <w:b/>
          <w:bCs/>
          <w:szCs w:val="24"/>
        </w:rPr>
        <w:t>Car Park Land</w:t>
      </w:r>
    </w:p>
    <w:p w14:paraId="560EA54A" w14:textId="77777777" w:rsidR="00BD0C85" w:rsidRDefault="00BD0C85" w:rsidP="00BD0C85">
      <w:pPr>
        <w:spacing w:after="240"/>
        <w:jc w:val="both"/>
        <w:rPr>
          <w:i/>
          <w:iCs/>
        </w:rPr>
      </w:pPr>
      <w:r>
        <w:rPr>
          <w:i/>
          <w:iCs/>
        </w:rPr>
        <w:t>Valuation evidence</w:t>
      </w:r>
    </w:p>
    <w:p w14:paraId="6FABE2CF" w14:textId="4A2EC816" w:rsidR="008B3528" w:rsidRDefault="005F56F7" w:rsidP="00033AA8">
      <w:pPr>
        <w:spacing w:after="360" w:line="259" w:lineRule="auto"/>
        <w:ind w:left="720" w:hanging="720"/>
        <w:jc w:val="both"/>
        <w:rPr>
          <w:szCs w:val="24"/>
        </w:rPr>
      </w:pPr>
      <w:r>
        <w:rPr>
          <w:szCs w:val="24"/>
        </w:rPr>
        <w:t>8</w:t>
      </w:r>
      <w:r w:rsidR="008134BB">
        <w:rPr>
          <w:szCs w:val="24"/>
        </w:rPr>
        <w:t>0</w:t>
      </w:r>
      <w:r>
        <w:rPr>
          <w:szCs w:val="24"/>
        </w:rPr>
        <w:t>.</w:t>
      </w:r>
      <w:r>
        <w:rPr>
          <w:szCs w:val="24"/>
        </w:rPr>
        <w:tab/>
      </w:r>
      <w:r w:rsidR="00BD0C85" w:rsidRPr="009F3694">
        <w:rPr>
          <w:szCs w:val="24"/>
        </w:rPr>
        <w:t>Mr Coulson consider</w:t>
      </w:r>
      <w:r w:rsidR="00033AA8">
        <w:rPr>
          <w:szCs w:val="24"/>
        </w:rPr>
        <w:t>ed</w:t>
      </w:r>
      <w:r w:rsidR="00BD0C85" w:rsidRPr="009F3694">
        <w:rPr>
          <w:szCs w:val="24"/>
        </w:rPr>
        <w:t xml:space="preserve"> that the rent received for the car park constitute</w:t>
      </w:r>
      <w:r w:rsidR="00033AA8">
        <w:rPr>
          <w:szCs w:val="24"/>
        </w:rPr>
        <w:t>d</w:t>
      </w:r>
      <w:r w:rsidR="00BD0C85" w:rsidRPr="009F3694">
        <w:rPr>
          <w:szCs w:val="24"/>
        </w:rPr>
        <w:t xml:space="preserve"> a secure income as the garden centre cannot be properly operated without the car park land.  His starting point for the assessment of the compensation </w:t>
      </w:r>
      <w:r w:rsidR="007148F6">
        <w:rPr>
          <w:szCs w:val="24"/>
        </w:rPr>
        <w:t>was</w:t>
      </w:r>
      <w:r w:rsidR="00BD0C85" w:rsidRPr="009F3694">
        <w:rPr>
          <w:szCs w:val="24"/>
        </w:rPr>
        <w:t xml:space="preserve"> a market value of </w:t>
      </w:r>
      <w:r w:rsidR="00653E44" w:rsidRPr="009F3694">
        <w:rPr>
          <w:szCs w:val="24"/>
        </w:rPr>
        <w:t>the</w:t>
      </w:r>
      <w:r w:rsidR="00BD0C85" w:rsidRPr="009F3694">
        <w:rPr>
          <w:szCs w:val="24"/>
        </w:rPr>
        <w:t xml:space="preserve"> </w:t>
      </w:r>
      <w:r w:rsidR="00653E44" w:rsidRPr="009F3694">
        <w:rPr>
          <w:szCs w:val="24"/>
        </w:rPr>
        <w:t>free</w:t>
      </w:r>
      <w:r w:rsidR="00BD0C85" w:rsidRPr="009F3694">
        <w:rPr>
          <w:szCs w:val="24"/>
        </w:rPr>
        <w:t>hold interest in the car park</w:t>
      </w:r>
      <w:r w:rsidR="00133E3B" w:rsidRPr="009F3694">
        <w:rPr>
          <w:szCs w:val="24"/>
        </w:rPr>
        <w:t xml:space="preserve"> </w:t>
      </w:r>
      <w:r w:rsidR="007D6180" w:rsidRPr="009F3694">
        <w:rPr>
          <w:szCs w:val="24"/>
        </w:rPr>
        <w:t>as demised</w:t>
      </w:r>
      <w:r w:rsidR="00BD0C85" w:rsidRPr="009F3694">
        <w:rPr>
          <w:szCs w:val="24"/>
        </w:rPr>
        <w:t>.  He t</w:t>
      </w:r>
      <w:r w:rsidR="007148F6">
        <w:rPr>
          <w:szCs w:val="24"/>
        </w:rPr>
        <w:t>ook</w:t>
      </w:r>
      <w:r w:rsidR="00BD0C85" w:rsidRPr="009F3694">
        <w:rPr>
          <w:szCs w:val="24"/>
        </w:rPr>
        <w:t xml:space="preserve"> the passing rent of £46,000 p</w:t>
      </w:r>
      <w:r w:rsidR="00AE4315" w:rsidRPr="009F3694">
        <w:rPr>
          <w:szCs w:val="24"/>
        </w:rPr>
        <w:t xml:space="preserve">er </w:t>
      </w:r>
      <w:r w:rsidR="00BD0C85" w:rsidRPr="009F3694">
        <w:rPr>
          <w:szCs w:val="24"/>
        </w:rPr>
        <w:t>a</w:t>
      </w:r>
      <w:r w:rsidR="00AE4315" w:rsidRPr="009F3694">
        <w:rPr>
          <w:szCs w:val="24"/>
        </w:rPr>
        <w:t>nnum</w:t>
      </w:r>
      <w:r w:rsidR="00BD0C85" w:rsidRPr="009F3694">
        <w:rPr>
          <w:szCs w:val="24"/>
        </w:rPr>
        <w:t xml:space="preserve"> and capitalises it at a yield of 8% which equates to </w:t>
      </w:r>
      <w:r w:rsidR="001E6BCE" w:rsidRPr="009F3694">
        <w:rPr>
          <w:szCs w:val="24"/>
        </w:rPr>
        <w:t>a</w:t>
      </w:r>
      <w:r w:rsidR="00BD0C85" w:rsidRPr="009F3694">
        <w:rPr>
          <w:szCs w:val="24"/>
        </w:rPr>
        <w:t xml:space="preserve"> market value of £575,000.  </w:t>
      </w:r>
      <w:r w:rsidR="00D1510A">
        <w:rPr>
          <w:szCs w:val="24"/>
        </w:rPr>
        <w:t xml:space="preserve">In support of this </w:t>
      </w:r>
      <w:r w:rsidR="005F6CC7">
        <w:rPr>
          <w:szCs w:val="24"/>
        </w:rPr>
        <w:t>methodology,</w:t>
      </w:r>
      <w:r w:rsidR="00CC7141">
        <w:rPr>
          <w:szCs w:val="24"/>
        </w:rPr>
        <w:t xml:space="preserve"> he refer</w:t>
      </w:r>
      <w:r w:rsidR="007148F6">
        <w:rPr>
          <w:szCs w:val="24"/>
        </w:rPr>
        <w:t>red</w:t>
      </w:r>
      <w:r w:rsidR="00CC7141">
        <w:rPr>
          <w:szCs w:val="24"/>
        </w:rPr>
        <w:t xml:space="preserve"> to a number of investment transactions which he sa</w:t>
      </w:r>
      <w:r w:rsidR="007148F6">
        <w:rPr>
          <w:szCs w:val="24"/>
        </w:rPr>
        <w:t>id</w:t>
      </w:r>
      <w:r w:rsidR="00CC7141">
        <w:rPr>
          <w:szCs w:val="24"/>
        </w:rPr>
        <w:t xml:space="preserve"> </w:t>
      </w:r>
      <w:r w:rsidR="0038417B">
        <w:rPr>
          <w:szCs w:val="24"/>
        </w:rPr>
        <w:t>inform</w:t>
      </w:r>
      <w:r w:rsidR="007148F6">
        <w:rPr>
          <w:szCs w:val="24"/>
        </w:rPr>
        <w:t>ed</w:t>
      </w:r>
      <w:r w:rsidR="0038417B">
        <w:rPr>
          <w:szCs w:val="24"/>
        </w:rPr>
        <w:t xml:space="preserve"> his choice of yield.  </w:t>
      </w:r>
      <w:r w:rsidR="002826D5">
        <w:rPr>
          <w:szCs w:val="24"/>
        </w:rPr>
        <w:t xml:space="preserve">These </w:t>
      </w:r>
      <w:r w:rsidR="007148F6">
        <w:rPr>
          <w:szCs w:val="24"/>
        </w:rPr>
        <w:t>were</w:t>
      </w:r>
      <w:r w:rsidR="005D2714">
        <w:rPr>
          <w:szCs w:val="24"/>
        </w:rPr>
        <w:t xml:space="preserve"> </w:t>
      </w:r>
      <w:r w:rsidR="007B2BC1">
        <w:rPr>
          <w:szCs w:val="24"/>
        </w:rPr>
        <w:t xml:space="preserve">a diverse group </w:t>
      </w:r>
      <w:r w:rsidR="002826D5">
        <w:rPr>
          <w:szCs w:val="24"/>
        </w:rPr>
        <w:t>includ</w:t>
      </w:r>
      <w:r w:rsidR="00D6359E">
        <w:rPr>
          <w:szCs w:val="24"/>
        </w:rPr>
        <w:t>ing</w:t>
      </w:r>
      <w:r w:rsidR="002826D5">
        <w:rPr>
          <w:szCs w:val="24"/>
        </w:rPr>
        <w:t xml:space="preserve"> </w:t>
      </w:r>
      <w:r w:rsidR="008448DB">
        <w:rPr>
          <w:szCs w:val="24"/>
        </w:rPr>
        <w:t xml:space="preserve">a lock up shop occupied by </w:t>
      </w:r>
      <w:proofErr w:type="spellStart"/>
      <w:r w:rsidR="008448DB">
        <w:rPr>
          <w:szCs w:val="24"/>
        </w:rPr>
        <w:t>Willliam</w:t>
      </w:r>
      <w:proofErr w:type="spellEnd"/>
      <w:r w:rsidR="008448DB">
        <w:rPr>
          <w:szCs w:val="24"/>
        </w:rPr>
        <w:t xml:space="preserve"> Hill in Southport</w:t>
      </w:r>
      <w:r w:rsidR="00C81B1E">
        <w:rPr>
          <w:szCs w:val="24"/>
        </w:rPr>
        <w:t xml:space="preserve"> (8.91% yield)</w:t>
      </w:r>
      <w:r w:rsidR="00DE5A78">
        <w:rPr>
          <w:szCs w:val="24"/>
        </w:rPr>
        <w:t xml:space="preserve"> and </w:t>
      </w:r>
      <w:r w:rsidR="005D4425">
        <w:rPr>
          <w:szCs w:val="24"/>
        </w:rPr>
        <w:t xml:space="preserve">a pair of industrial units </w:t>
      </w:r>
      <w:r w:rsidR="009A5696">
        <w:rPr>
          <w:szCs w:val="24"/>
        </w:rPr>
        <w:t>in Stockport</w:t>
      </w:r>
      <w:r w:rsidR="00787548">
        <w:rPr>
          <w:szCs w:val="24"/>
        </w:rPr>
        <w:t xml:space="preserve"> (7.91%</w:t>
      </w:r>
      <w:r w:rsidR="000608C5">
        <w:rPr>
          <w:szCs w:val="24"/>
        </w:rPr>
        <w:t xml:space="preserve"> yield).   </w:t>
      </w:r>
      <w:r w:rsidR="007B2BC1">
        <w:rPr>
          <w:szCs w:val="24"/>
        </w:rPr>
        <w:t xml:space="preserve">Most of his </w:t>
      </w:r>
      <w:r w:rsidR="00D6359E">
        <w:rPr>
          <w:szCs w:val="24"/>
        </w:rPr>
        <w:t xml:space="preserve">investment </w:t>
      </w:r>
      <w:proofErr w:type="spellStart"/>
      <w:r w:rsidR="00D6359E">
        <w:rPr>
          <w:szCs w:val="24"/>
        </w:rPr>
        <w:t>comparables</w:t>
      </w:r>
      <w:proofErr w:type="spellEnd"/>
      <w:r w:rsidR="00D6359E">
        <w:rPr>
          <w:szCs w:val="24"/>
        </w:rPr>
        <w:t xml:space="preserve"> are </w:t>
      </w:r>
      <w:r w:rsidR="00EE18C4">
        <w:rPr>
          <w:szCs w:val="24"/>
        </w:rPr>
        <w:t>let at similar rent</w:t>
      </w:r>
      <w:r w:rsidR="00C46779">
        <w:rPr>
          <w:szCs w:val="24"/>
        </w:rPr>
        <w:t>s</w:t>
      </w:r>
      <w:r w:rsidR="00EE18C4">
        <w:rPr>
          <w:szCs w:val="24"/>
        </w:rPr>
        <w:t xml:space="preserve"> to the car park </w:t>
      </w:r>
      <w:r w:rsidR="004217AF">
        <w:rPr>
          <w:szCs w:val="24"/>
        </w:rPr>
        <w:t xml:space="preserve">but the degree to which they are reversionary </w:t>
      </w:r>
      <w:r w:rsidR="00F62B12">
        <w:rPr>
          <w:szCs w:val="24"/>
        </w:rPr>
        <w:t xml:space="preserve">is not explained and the dates of many of the </w:t>
      </w:r>
      <w:r w:rsidR="00F62B12">
        <w:rPr>
          <w:szCs w:val="24"/>
        </w:rPr>
        <w:lastRenderedPageBreak/>
        <w:t xml:space="preserve">transactions are missing. </w:t>
      </w:r>
      <w:r w:rsidR="00BD0C85" w:rsidRPr="009F3694">
        <w:rPr>
          <w:szCs w:val="24"/>
        </w:rPr>
        <w:t>He note</w:t>
      </w:r>
      <w:r w:rsidR="007148F6">
        <w:rPr>
          <w:szCs w:val="24"/>
        </w:rPr>
        <w:t>d</w:t>
      </w:r>
      <w:r w:rsidR="00BD0C85" w:rsidRPr="009F3694">
        <w:rPr>
          <w:szCs w:val="24"/>
        </w:rPr>
        <w:t xml:space="preserve"> that the land taken </w:t>
      </w:r>
      <w:r w:rsidR="002C0A94" w:rsidRPr="009F3694">
        <w:rPr>
          <w:szCs w:val="24"/>
        </w:rPr>
        <w:t>constitute</w:t>
      </w:r>
      <w:r w:rsidR="007148F6">
        <w:rPr>
          <w:szCs w:val="24"/>
        </w:rPr>
        <w:t>d</w:t>
      </w:r>
      <w:r w:rsidR="00BD0C85" w:rsidRPr="009F3694">
        <w:rPr>
          <w:szCs w:val="24"/>
        </w:rPr>
        <w:t xml:space="preserve"> 18.766% of the total area included in the lease</w:t>
      </w:r>
      <w:r w:rsidR="004D5826" w:rsidRPr="009F3694">
        <w:rPr>
          <w:szCs w:val="24"/>
        </w:rPr>
        <w:t xml:space="preserve"> or</w:t>
      </w:r>
      <w:r w:rsidR="008B2F93" w:rsidRPr="009F3694">
        <w:rPr>
          <w:szCs w:val="24"/>
        </w:rPr>
        <w:t>,</w:t>
      </w:r>
      <w:r w:rsidR="004D5826" w:rsidRPr="009F3694">
        <w:rPr>
          <w:szCs w:val="24"/>
        </w:rPr>
        <w:t xml:space="preserve"> by an alternative measure,</w:t>
      </w:r>
      <w:r w:rsidR="00BD0C85" w:rsidRPr="009F3694">
        <w:rPr>
          <w:szCs w:val="24"/>
        </w:rPr>
        <w:t xml:space="preserve"> 111 car spaces from a total capacity of 282 spaces </w:t>
      </w:r>
      <w:r w:rsidR="001E6BCE" w:rsidRPr="009F3694">
        <w:rPr>
          <w:szCs w:val="24"/>
        </w:rPr>
        <w:t xml:space="preserve">which </w:t>
      </w:r>
      <w:r w:rsidR="00FE7D67" w:rsidRPr="009F3694">
        <w:rPr>
          <w:szCs w:val="24"/>
        </w:rPr>
        <w:t>equat</w:t>
      </w:r>
      <w:r w:rsidR="00AE4315" w:rsidRPr="009F3694">
        <w:rPr>
          <w:szCs w:val="24"/>
        </w:rPr>
        <w:t>es</w:t>
      </w:r>
      <w:r w:rsidR="00BD0C85" w:rsidRPr="009F3694">
        <w:rPr>
          <w:szCs w:val="24"/>
        </w:rPr>
        <w:t xml:space="preserve"> to 39.36% of </w:t>
      </w:r>
      <w:r w:rsidR="00AE4315" w:rsidRPr="009F3694">
        <w:rPr>
          <w:szCs w:val="24"/>
        </w:rPr>
        <w:t>those available</w:t>
      </w:r>
      <w:r w:rsidR="00BD0C85" w:rsidRPr="009F3694">
        <w:rPr>
          <w:szCs w:val="24"/>
        </w:rPr>
        <w:t>.</w:t>
      </w:r>
    </w:p>
    <w:p w14:paraId="0AE7DC55" w14:textId="33F16250" w:rsidR="00BD0C85" w:rsidRPr="009F3694" w:rsidRDefault="004B3819" w:rsidP="004B3819">
      <w:pPr>
        <w:spacing w:after="360" w:line="259" w:lineRule="auto"/>
        <w:ind w:left="720" w:hanging="720"/>
        <w:jc w:val="both"/>
        <w:rPr>
          <w:szCs w:val="24"/>
        </w:rPr>
      </w:pPr>
      <w:r>
        <w:rPr>
          <w:szCs w:val="24"/>
        </w:rPr>
        <w:t>8</w:t>
      </w:r>
      <w:r w:rsidR="0018375F">
        <w:rPr>
          <w:szCs w:val="24"/>
        </w:rPr>
        <w:t>1</w:t>
      </w:r>
      <w:r>
        <w:rPr>
          <w:szCs w:val="24"/>
        </w:rPr>
        <w:t>.</w:t>
      </w:r>
      <w:r>
        <w:rPr>
          <w:szCs w:val="24"/>
        </w:rPr>
        <w:tab/>
      </w:r>
      <w:r w:rsidR="00BD0C85" w:rsidRPr="009F3694">
        <w:rPr>
          <w:szCs w:val="24"/>
        </w:rPr>
        <w:t xml:space="preserve">Mr Coulson </w:t>
      </w:r>
      <w:r w:rsidR="003904D5" w:rsidRPr="009F3694">
        <w:rPr>
          <w:szCs w:val="24"/>
        </w:rPr>
        <w:t>arrive</w:t>
      </w:r>
      <w:r w:rsidR="007148F6">
        <w:rPr>
          <w:szCs w:val="24"/>
        </w:rPr>
        <w:t>d</w:t>
      </w:r>
      <w:r w:rsidR="003904D5" w:rsidRPr="009F3694">
        <w:rPr>
          <w:szCs w:val="24"/>
        </w:rPr>
        <w:t xml:space="preserve"> at</w:t>
      </w:r>
      <w:r w:rsidR="00BD0C85" w:rsidRPr="009F3694">
        <w:rPr>
          <w:szCs w:val="24"/>
        </w:rPr>
        <w:t xml:space="preserve"> his assessment </w:t>
      </w:r>
      <w:r w:rsidR="003904D5" w:rsidRPr="009F3694">
        <w:rPr>
          <w:szCs w:val="24"/>
        </w:rPr>
        <w:t xml:space="preserve">by applying </w:t>
      </w:r>
      <w:r w:rsidR="00A73C26" w:rsidRPr="009F3694">
        <w:rPr>
          <w:szCs w:val="24"/>
        </w:rPr>
        <w:t>18.766% to the market value of the whole</w:t>
      </w:r>
      <w:r w:rsidR="00BD0C85" w:rsidRPr="009F3694">
        <w:rPr>
          <w:szCs w:val="24"/>
        </w:rPr>
        <w:t xml:space="preserve"> which result</w:t>
      </w:r>
      <w:r w:rsidR="007148F6">
        <w:rPr>
          <w:szCs w:val="24"/>
        </w:rPr>
        <w:t>ed</w:t>
      </w:r>
      <w:r w:rsidR="00BD0C85" w:rsidRPr="009F3694">
        <w:rPr>
          <w:szCs w:val="24"/>
        </w:rPr>
        <w:t xml:space="preserve"> in a figure of £107,905.  At the hearing he did not explain why he had approached the assessment in this way</w:t>
      </w:r>
      <w:r w:rsidR="008B35B2" w:rsidRPr="009F3694">
        <w:rPr>
          <w:szCs w:val="24"/>
        </w:rPr>
        <w:t>,</w:t>
      </w:r>
      <w:r w:rsidR="00BD0C85" w:rsidRPr="009F3694">
        <w:rPr>
          <w:szCs w:val="24"/>
        </w:rPr>
        <w:t xml:space="preserve"> simply stating that he felt his approach was more reasonable than the methodology based on the number of car spaces lost.</w:t>
      </w:r>
    </w:p>
    <w:p w14:paraId="7BFC5130" w14:textId="3FED132D" w:rsidR="00BD0C85" w:rsidRDefault="004B3819" w:rsidP="004B3819">
      <w:pPr>
        <w:spacing w:after="360" w:line="259" w:lineRule="auto"/>
        <w:ind w:left="720" w:hanging="720"/>
        <w:jc w:val="both"/>
        <w:rPr>
          <w:szCs w:val="24"/>
        </w:rPr>
      </w:pPr>
      <w:r>
        <w:rPr>
          <w:szCs w:val="24"/>
        </w:rPr>
        <w:t>8</w:t>
      </w:r>
      <w:r w:rsidR="0018375F">
        <w:rPr>
          <w:szCs w:val="24"/>
        </w:rPr>
        <w:t>2</w:t>
      </w:r>
      <w:r>
        <w:rPr>
          <w:szCs w:val="24"/>
        </w:rPr>
        <w:t>.</w:t>
      </w:r>
      <w:r>
        <w:rPr>
          <w:szCs w:val="24"/>
        </w:rPr>
        <w:tab/>
      </w:r>
      <w:r w:rsidR="00BD0C85" w:rsidRPr="009F3694">
        <w:rPr>
          <w:szCs w:val="24"/>
        </w:rPr>
        <w:t>Mr Church on behalf of the respondent sa</w:t>
      </w:r>
      <w:r w:rsidR="003E5F8B">
        <w:rPr>
          <w:szCs w:val="24"/>
        </w:rPr>
        <w:t>id</w:t>
      </w:r>
      <w:r w:rsidR="00BD0C85" w:rsidRPr="009F3694">
        <w:rPr>
          <w:szCs w:val="24"/>
        </w:rPr>
        <w:t xml:space="preserve"> that there is an absence of a general market for</w:t>
      </w:r>
      <w:r w:rsidR="00EB5E7B" w:rsidRPr="009F3694">
        <w:rPr>
          <w:szCs w:val="24"/>
        </w:rPr>
        <w:t xml:space="preserve"> the car park or </w:t>
      </w:r>
      <w:r w:rsidR="00BD0C85" w:rsidRPr="009F3694">
        <w:rPr>
          <w:szCs w:val="24"/>
        </w:rPr>
        <w:t>evidence that might support a market rent assessment.  This being the case the rent w</w:t>
      </w:r>
      <w:r w:rsidR="003E5F8B">
        <w:rPr>
          <w:szCs w:val="24"/>
        </w:rPr>
        <w:t>ould</w:t>
      </w:r>
      <w:r w:rsidR="00BD0C85" w:rsidRPr="009F3694">
        <w:rPr>
          <w:szCs w:val="24"/>
        </w:rPr>
        <w:t xml:space="preserve"> </w:t>
      </w:r>
      <w:r w:rsidR="002D77EF" w:rsidRPr="009F3694">
        <w:rPr>
          <w:szCs w:val="24"/>
        </w:rPr>
        <w:t>reflect</w:t>
      </w:r>
      <w:r w:rsidR="00BD0C85" w:rsidRPr="009F3694">
        <w:rPr>
          <w:szCs w:val="24"/>
        </w:rPr>
        <w:t xml:space="preserve"> the utility to the garden centre or to use his words</w:t>
      </w:r>
      <w:r w:rsidR="0043654E" w:rsidRPr="009F3694">
        <w:rPr>
          <w:szCs w:val="24"/>
        </w:rPr>
        <w:t>:</w:t>
      </w:r>
      <w:r w:rsidR="00BD0C85" w:rsidRPr="009F3694">
        <w:rPr>
          <w:szCs w:val="24"/>
        </w:rPr>
        <w:t xml:space="preserve"> </w:t>
      </w:r>
      <w:r w:rsidR="0043654E" w:rsidRPr="009F3694">
        <w:rPr>
          <w:szCs w:val="24"/>
        </w:rPr>
        <w:t>‘</w:t>
      </w:r>
      <w:r w:rsidR="00BD0C85" w:rsidRPr="009F3694">
        <w:rPr>
          <w:szCs w:val="24"/>
        </w:rPr>
        <w:t>the garden centre will pay no more than the value it derives for the car park</w:t>
      </w:r>
      <w:r w:rsidR="0043654E" w:rsidRPr="009F3694">
        <w:rPr>
          <w:szCs w:val="24"/>
        </w:rPr>
        <w:t>’</w:t>
      </w:r>
      <w:r w:rsidR="00BD0C85" w:rsidRPr="009F3694">
        <w:rPr>
          <w:szCs w:val="24"/>
        </w:rPr>
        <w:t xml:space="preserve">.  He </w:t>
      </w:r>
      <w:r w:rsidR="00640380">
        <w:rPr>
          <w:szCs w:val="24"/>
        </w:rPr>
        <w:t>went</w:t>
      </w:r>
      <w:r w:rsidR="00BD0C85" w:rsidRPr="009F3694">
        <w:rPr>
          <w:szCs w:val="24"/>
        </w:rPr>
        <w:t xml:space="preserve"> on to say that the claimant would seek the same figure as they cannot exploit their monopoly position there being no competing interest for the land and a significant risk of </w:t>
      </w:r>
      <w:r w:rsidR="00E93222" w:rsidRPr="009F3694">
        <w:rPr>
          <w:szCs w:val="24"/>
        </w:rPr>
        <w:t>vacancy.</w:t>
      </w:r>
    </w:p>
    <w:p w14:paraId="5E8A6BFC" w14:textId="3D0FFB94" w:rsidR="0086134F" w:rsidRPr="0086134F" w:rsidRDefault="008134BB" w:rsidP="00814379">
      <w:pPr>
        <w:spacing w:after="360" w:line="259" w:lineRule="auto"/>
        <w:ind w:left="720" w:hanging="720"/>
        <w:jc w:val="both"/>
        <w:rPr>
          <w:szCs w:val="24"/>
        </w:rPr>
      </w:pPr>
      <w:r>
        <w:rPr>
          <w:szCs w:val="24"/>
        </w:rPr>
        <w:t>8</w:t>
      </w:r>
      <w:r w:rsidR="0018375F">
        <w:rPr>
          <w:szCs w:val="24"/>
        </w:rPr>
        <w:t>3</w:t>
      </w:r>
      <w:r w:rsidR="00814379">
        <w:rPr>
          <w:szCs w:val="24"/>
        </w:rPr>
        <w:t>.</w:t>
      </w:r>
      <w:r w:rsidR="00814379">
        <w:rPr>
          <w:szCs w:val="24"/>
        </w:rPr>
        <w:tab/>
      </w:r>
      <w:r w:rsidR="0086134F" w:rsidRPr="0086134F">
        <w:rPr>
          <w:szCs w:val="24"/>
        </w:rPr>
        <w:t>Mr Church was unable to find any directly comparable transactions and consequently relied upon the rent for the Hazel Grove Park &amp; Ride which he sa</w:t>
      </w:r>
      <w:r w:rsidR="00240011">
        <w:rPr>
          <w:szCs w:val="24"/>
        </w:rPr>
        <w:t>id</w:t>
      </w:r>
      <w:r w:rsidR="0086134F" w:rsidRPr="0086134F">
        <w:rPr>
          <w:szCs w:val="24"/>
        </w:rPr>
        <w:t xml:space="preserve"> reflects £115 per space as at January 2015. In cross-examination he admitted that he had very little information about this transaction and that his analysis reflected the buildings on site as well. He s</w:t>
      </w:r>
      <w:r w:rsidR="00640380">
        <w:rPr>
          <w:szCs w:val="24"/>
        </w:rPr>
        <w:t>aid</w:t>
      </w:r>
      <w:r w:rsidR="0086134F" w:rsidRPr="0086134F">
        <w:rPr>
          <w:szCs w:val="24"/>
        </w:rPr>
        <w:t xml:space="preserve"> that the passing rent </w:t>
      </w:r>
      <w:r w:rsidR="009377B5">
        <w:rPr>
          <w:szCs w:val="24"/>
        </w:rPr>
        <w:t xml:space="preserve">on the </w:t>
      </w:r>
      <w:r w:rsidR="0000424A">
        <w:rPr>
          <w:szCs w:val="24"/>
        </w:rPr>
        <w:t xml:space="preserve">car park land </w:t>
      </w:r>
      <w:r w:rsidR="0086134F" w:rsidRPr="0086134F">
        <w:rPr>
          <w:szCs w:val="24"/>
        </w:rPr>
        <w:t>devalue</w:t>
      </w:r>
      <w:r w:rsidR="00640380">
        <w:rPr>
          <w:szCs w:val="24"/>
        </w:rPr>
        <w:t>d</w:t>
      </w:r>
      <w:r w:rsidR="0086134F" w:rsidRPr="0086134F">
        <w:rPr>
          <w:szCs w:val="24"/>
        </w:rPr>
        <w:t xml:space="preserve"> to £165 per space</w:t>
      </w:r>
      <w:r w:rsidR="0000424A">
        <w:rPr>
          <w:szCs w:val="24"/>
        </w:rPr>
        <w:t>.</w:t>
      </w:r>
      <w:r w:rsidR="0086134F" w:rsidRPr="0086134F">
        <w:rPr>
          <w:szCs w:val="24"/>
        </w:rPr>
        <w:t xml:space="preserve"> </w:t>
      </w:r>
    </w:p>
    <w:p w14:paraId="7F5D8872" w14:textId="2BBA35E1" w:rsidR="0086134F" w:rsidRPr="0086134F" w:rsidRDefault="008134BB" w:rsidP="00814379">
      <w:pPr>
        <w:spacing w:after="360" w:line="259" w:lineRule="auto"/>
        <w:ind w:left="720" w:hanging="720"/>
        <w:jc w:val="both"/>
        <w:rPr>
          <w:szCs w:val="24"/>
        </w:rPr>
      </w:pPr>
      <w:r>
        <w:rPr>
          <w:szCs w:val="24"/>
        </w:rPr>
        <w:t>8</w:t>
      </w:r>
      <w:r w:rsidR="0018375F">
        <w:rPr>
          <w:szCs w:val="24"/>
        </w:rPr>
        <w:t>4</w:t>
      </w:r>
      <w:r w:rsidR="00814379">
        <w:rPr>
          <w:szCs w:val="24"/>
        </w:rPr>
        <w:t>.</w:t>
      </w:r>
      <w:r w:rsidR="00814379">
        <w:rPr>
          <w:szCs w:val="24"/>
        </w:rPr>
        <w:tab/>
      </w:r>
      <w:r w:rsidR="0086134F" w:rsidRPr="0086134F">
        <w:rPr>
          <w:szCs w:val="24"/>
        </w:rPr>
        <w:t>Mr Church observ</w:t>
      </w:r>
      <w:r w:rsidR="00112C63">
        <w:rPr>
          <w:szCs w:val="24"/>
        </w:rPr>
        <w:t>ed</w:t>
      </w:r>
      <w:r w:rsidR="0086134F" w:rsidRPr="0086134F">
        <w:rPr>
          <w:szCs w:val="24"/>
        </w:rPr>
        <w:t xml:space="preserve"> that the car park has never been marked out with individual spaces and </w:t>
      </w:r>
      <w:r w:rsidR="00640380">
        <w:rPr>
          <w:szCs w:val="24"/>
        </w:rPr>
        <w:t>said</w:t>
      </w:r>
      <w:r w:rsidR="0086134F" w:rsidRPr="0086134F">
        <w:rPr>
          <w:szCs w:val="24"/>
        </w:rPr>
        <w:t xml:space="preserve"> that it was never fully occupied. He note</w:t>
      </w:r>
      <w:r w:rsidR="00112C63">
        <w:rPr>
          <w:szCs w:val="24"/>
        </w:rPr>
        <w:t>d</w:t>
      </w:r>
      <w:r w:rsidR="0086134F" w:rsidRPr="0086134F">
        <w:rPr>
          <w:szCs w:val="24"/>
        </w:rPr>
        <w:t xml:space="preserve"> that the land taken was furthest away from the entran</w:t>
      </w:r>
      <w:r w:rsidR="00C7340E">
        <w:rPr>
          <w:szCs w:val="24"/>
        </w:rPr>
        <w:t>ce</w:t>
      </w:r>
      <w:r w:rsidR="0086134F" w:rsidRPr="0086134F">
        <w:rPr>
          <w:szCs w:val="24"/>
        </w:rPr>
        <w:t xml:space="preserve"> to the </w:t>
      </w:r>
      <w:r w:rsidR="005E03AD">
        <w:rPr>
          <w:szCs w:val="24"/>
        </w:rPr>
        <w:t>g</w:t>
      </w:r>
      <w:r w:rsidR="0086134F" w:rsidRPr="0086134F">
        <w:rPr>
          <w:szCs w:val="24"/>
        </w:rPr>
        <w:t xml:space="preserve">arden </w:t>
      </w:r>
      <w:r w:rsidR="005E03AD">
        <w:rPr>
          <w:szCs w:val="24"/>
        </w:rPr>
        <w:t>c</w:t>
      </w:r>
      <w:r w:rsidR="0086134F" w:rsidRPr="0086134F">
        <w:rPr>
          <w:szCs w:val="24"/>
        </w:rPr>
        <w:t xml:space="preserve">entre and it </w:t>
      </w:r>
      <w:r w:rsidR="003E58A1">
        <w:rPr>
          <w:szCs w:val="24"/>
        </w:rPr>
        <w:t>was</w:t>
      </w:r>
      <w:r w:rsidR="0086134F" w:rsidRPr="0086134F">
        <w:rPr>
          <w:szCs w:val="24"/>
        </w:rPr>
        <w:t xml:space="preserve"> appropriate to assess spaces in that area which were seldom used at a lesser rate than those frequently utilised. He therefore elect</w:t>
      </w:r>
      <w:r w:rsidR="003E58A1">
        <w:rPr>
          <w:szCs w:val="24"/>
        </w:rPr>
        <w:t>ed</w:t>
      </w:r>
      <w:r w:rsidR="0086134F" w:rsidRPr="0086134F">
        <w:rPr>
          <w:szCs w:val="24"/>
        </w:rPr>
        <w:t xml:space="preserve"> to use a rate of £100 per space for the </w:t>
      </w:r>
      <w:r w:rsidR="00A96CDC" w:rsidRPr="0086134F">
        <w:rPr>
          <w:szCs w:val="24"/>
        </w:rPr>
        <w:t>los</w:t>
      </w:r>
      <w:r w:rsidR="00A96CDC">
        <w:rPr>
          <w:szCs w:val="24"/>
        </w:rPr>
        <w:t>t</w:t>
      </w:r>
      <w:r w:rsidR="00A96CDC" w:rsidRPr="0086134F">
        <w:rPr>
          <w:szCs w:val="24"/>
        </w:rPr>
        <w:t xml:space="preserve"> </w:t>
      </w:r>
      <w:r w:rsidR="0086134F" w:rsidRPr="0086134F">
        <w:rPr>
          <w:szCs w:val="24"/>
        </w:rPr>
        <w:t>spaces. To take account of the inefficient way in which the spaces were used he t</w:t>
      </w:r>
      <w:r w:rsidR="003E58A1">
        <w:rPr>
          <w:szCs w:val="24"/>
        </w:rPr>
        <w:t>ook</w:t>
      </w:r>
      <w:r w:rsidR="0086134F" w:rsidRPr="0086134F">
        <w:rPr>
          <w:szCs w:val="24"/>
        </w:rPr>
        <w:t xml:space="preserve"> the view that 75 spaces ha</w:t>
      </w:r>
      <w:r w:rsidR="003E58A1">
        <w:rPr>
          <w:szCs w:val="24"/>
        </w:rPr>
        <w:t>d</w:t>
      </w:r>
      <w:r w:rsidR="0086134F" w:rsidRPr="0086134F">
        <w:rPr>
          <w:szCs w:val="24"/>
        </w:rPr>
        <w:t xml:space="preserve"> been lost. His rental valuation for the land taken </w:t>
      </w:r>
      <w:r w:rsidR="003E58A1">
        <w:rPr>
          <w:szCs w:val="24"/>
        </w:rPr>
        <w:t>was</w:t>
      </w:r>
      <w:r w:rsidR="0086134F" w:rsidRPr="0086134F">
        <w:rPr>
          <w:szCs w:val="24"/>
        </w:rPr>
        <w:t xml:space="preserve"> therefore £7,500 pa which he capitalises at 10 years purchase, arriving at a final figure of £75,000. When I questioned him about the adoption of the 10% </w:t>
      </w:r>
      <w:r w:rsidR="00204305" w:rsidRPr="0086134F">
        <w:rPr>
          <w:szCs w:val="24"/>
        </w:rPr>
        <w:t>yield,</w:t>
      </w:r>
      <w:r w:rsidR="0086134F" w:rsidRPr="0086134F">
        <w:rPr>
          <w:szCs w:val="24"/>
        </w:rPr>
        <w:t xml:space="preserve"> he said it was simply his professional opinion. He subsequently confirmed that he was not experienced in investment agency. </w:t>
      </w:r>
      <w:r w:rsidR="00204305">
        <w:rPr>
          <w:szCs w:val="24"/>
        </w:rPr>
        <w:t xml:space="preserve"> Mr Church </w:t>
      </w:r>
      <w:r w:rsidR="009935C6">
        <w:rPr>
          <w:szCs w:val="24"/>
        </w:rPr>
        <w:t xml:space="preserve">did not initially </w:t>
      </w:r>
      <w:r w:rsidR="00204305">
        <w:rPr>
          <w:szCs w:val="24"/>
        </w:rPr>
        <w:t>set out his valuation of the entire</w:t>
      </w:r>
      <w:r w:rsidR="00150387">
        <w:rPr>
          <w:szCs w:val="24"/>
        </w:rPr>
        <w:t>ty of the car park land</w:t>
      </w:r>
      <w:r w:rsidR="009935C6">
        <w:rPr>
          <w:szCs w:val="24"/>
        </w:rPr>
        <w:t xml:space="preserve">.  He addressed this omission </w:t>
      </w:r>
      <w:r w:rsidR="00150387">
        <w:rPr>
          <w:szCs w:val="24"/>
        </w:rPr>
        <w:t>in his Supplementary Report</w:t>
      </w:r>
      <w:r w:rsidR="00D42124">
        <w:rPr>
          <w:szCs w:val="24"/>
        </w:rPr>
        <w:t xml:space="preserve"> </w:t>
      </w:r>
      <w:r w:rsidR="003129F7">
        <w:rPr>
          <w:szCs w:val="24"/>
        </w:rPr>
        <w:t>whilst</w:t>
      </w:r>
      <w:r w:rsidR="00D42124">
        <w:rPr>
          <w:szCs w:val="24"/>
        </w:rPr>
        <w:t xml:space="preserve"> </w:t>
      </w:r>
      <w:r w:rsidR="00177442">
        <w:rPr>
          <w:szCs w:val="24"/>
        </w:rPr>
        <w:t>dealing with his assessment of injurious affection.</w:t>
      </w:r>
    </w:p>
    <w:p w14:paraId="42487ED1" w14:textId="79876D8D" w:rsidR="0086134F" w:rsidRPr="0086134F" w:rsidRDefault="0086134F" w:rsidP="0086134F">
      <w:pPr>
        <w:spacing w:after="360" w:line="259" w:lineRule="auto"/>
        <w:jc w:val="both"/>
        <w:rPr>
          <w:i/>
          <w:iCs/>
          <w:szCs w:val="24"/>
        </w:rPr>
      </w:pPr>
      <w:r w:rsidRPr="0086134F">
        <w:rPr>
          <w:i/>
          <w:iCs/>
          <w:szCs w:val="24"/>
        </w:rPr>
        <w:t xml:space="preserve">Discussion </w:t>
      </w:r>
      <w:r w:rsidR="00335FDD">
        <w:rPr>
          <w:i/>
          <w:iCs/>
          <w:szCs w:val="24"/>
        </w:rPr>
        <w:t>– Car Park Land Valuation Evidence</w:t>
      </w:r>
    </w:p>
    <w:p w14:paraId="7235E613" w14:textId="3D2A91F9" w:rsidR="0086134F" w:rsidRPr="0086134F" w:rsidRDefault="008134BB" w:rsidP="003129F7">
      <w:pPr>
        <w:spacing w:after="360" w:line="259" w:lineRule="auto"/>
        <w:ind w:left="720" w:hanging="720"/>
        <w:jc w:val="both"/>
        <w:rPr>
          <w:szCs w:val="24"/>
        </w:rPr>
      </w:pPr>
      <w:r>
        <w:rPr>
          <w:szCs w:val="24"/>
        </w:rPr>
        <w:t>8</w:t>
      </w:r>
      <w:r w:rsidR="0018375F">
        <w:rPr>
          <w:szCs w:val="24"/>
        </w:rPr>
        <w:t>5</w:t>
      </w:r>
      <w:r w:rsidR="003129F7">
        <w:rPr>
          <w:szCs w:val="24"/>
        </w:rPr>
        <w:t>.</w:t>
      </w:r>
      <w:r w:rsidR="003129F7">
        <w:rPr>
          <w:szCs w:val="24"/>
        </w:rPr>
        <w:tab/>
      </w:r>
      <w:r w:rsidR="00AB15DA">
        <w:rPr>
          <w:szCs w:val="24"/>
        </w:rPr>
        <w:t xml:space="preserve">Mr Church </w:t>
      </w:r>
      <w:r w:rsidR="0086134F" w:rsidRPr="0086134F">
        <w:rPr>
          <w:szCs w:val="24"/>
        </w:rPr>
        <w:t>acknowledge</w:t>
      </w:r>
      <w:r w:rsidR="00E82398">
        <w:rPr>
          <w:szCs w:val="24"/>
        </w:rPr>
        <w:t>d</w:t>
      </w:r>
      <w:r w:rsidR="0086134F" w:rsidRPr="0086134F">
        <w:rPr>
          <w:szCs w:val="24"/>
        </w:rPr>
        <w:t xml:space="preserve"> that </w:t>
      </w:r>
      <w:r w:rsidR="003129F7" w:rsidRPr="0086134F">
        <w:rPr>
          <w:szCs w:val="24"/>
        </w:rPr>
        <w:t>overall,</w:t>
      </w:r>
      <w:r w:rsidR="0086134F" w:rsidRPr="0086134F">
        <w:rPr>
          <w:szCs w:val="24"/>
        </w:rPr>
        <w:t xml:space="preserve"> the</w:t>
      </w:r>
      <w:r w:rsidR="00AB15DA">
        <w:rPr>
          <w:szCs w:val="24"/>
        </w:rPr>
        <w:t xml:space="preserve"> passing rent</w:t>
      </w:r>
      <w:r w:rsidR="0086134F" w:rsidRPr="0086134F">
        <w:rPr>
          <w:szCs w:val="24"/>
        </w:rPr>
        <w:t xml:space="preserve"> </w:t>
      </w:r>
      <w:r w:rsidR="00AB15DA">
        <w:rPr>
          <w:szCs w:val="24"/>
        </w:rPr>
        <w:t>devalues</w:t>
      </w:r>
      <w:r w:rsidR="0086134F" w:rsidRPr="0086134F">
        <w:rPr>
          <w:szCs w:val="24"/>
        </w:rPr>
        <w:t xml:space="preserve"> </w:t>
      </w:r>
      <w:r w:rsidR="00CD217A">
        <w:rPr>
          <w:szCs w:val="24"/>
        </w:rPr>
        <w:t xml:space="preserve">to </w:t>
      </w:r>
      <w:r w:rsidR="0086134F" w:rsidRPr="0086134F">
        <w:rPr>
          <w:szCs w:val="24"/>
        </w:rPr>
        <w:t xml:space="preserve">£165 per </w:t>
      </w:r>
      <w:r w:rsidR="00DB262D" w:rsidRPr="0086134F">
        <w:rPr>
          <w:szCs w:val="24"/>
        </w:rPr>
        <w:t>space,</w:t>
      </w:r>
      <w:r w:rsidR="0086134F" w:rsidRPr="0086134F">
        <w:rPr>
          <w:szCs w:val="24"/>
        </w:rPr>
        <w:t xml:space="preserve"> and this implies a total of 279 spaces which is at odds with his assertion that the car park is inefficiently used and that Mr Coulson’s figure of 282 spaces would only be achieved if the car park was properly </w:t>
      </w:r>
      <w:r w:rsidR="00950471" w:rsidRPr="0086134F">
        <w:rPr>
          <w:szCs w:val="24"/>
        </w:rPr>
        <w:t>s</w:t>
      </w:r>
      <w:r w:rsidR="00950471">
        <w:rPr>
          <w:szCs w:val="24"/>
        </w:rPr>
        <w:t>urfaced</w:t>
      </w:r>
      <w:r w:rsidR="0086134F" w:rsidRPr="0086134F">
        <w:rPr>
          <w:szCs w:val="24"/>
        </w:rPr>
        <w:t xml:space="preserve"> and marked out. </w:t>
      </w:r>
      <w:r w:rsidR="00677C49">
        <w:rPr>
          <w:szCs w:val="24"/>
        </w:rPr>
        <w:t xml:space="preserve">  </w:t>
      </w:r>
      <w:r w:rsidR="0086134F" w:rsidRPr="0086134F">
        <w:rPr>
          <w:szCs w:val="24"/>
        </w:rPr>
        <w:t xml:space="preserve">His only comparable, Hazel Grove Park &amp; Ride, is in my view </w:t>
      </w:r>
      <w:r w:rsidR="009727A6">
        <w:rPr>
          <w:szCs w:val="24"/>
        </w:rPr>
        <w:t>of</w:t>
      </w:r>
      <w:r w:rsidR="0086134F" w:rsidRPr="0086134F">
        <w:rPr>
          <w:szCs w:val="24"/>
        </w:rPr>
        <w:t xml:space="preserve"> very limited relevance and he has supplied scant details of the transaction. Mr Church’s observation that </w:t>
      </w:r>
      <w:r w:rsidR="009727A6">
        <w:rPr>
          <w:szCs w:val="24"/>
        </w:rPr>
        <w:t xml:space="preserve">the </w:t>
      </w:r>
      <w:r w:rsidR="0086134F" w:rsidRPr="0086134F">
        <w:rPr>
          <w:szCs w:val="24"/>
        </w:rPr>
        <w:t xml:space="preserve">spaces on the land taken were the least used may well be true but </w:t>
      </w:r>
      <w:r w:rsidR="00717489">
        <w:rPr>
          <w:szCs w:val="24"/>
        </w:rPr>
        <w:t>the only</w:t>
      </w:r>
      <w:r w:rsidR="0086134F" w:rsidRPr="0086134F">
        <w:rPr>
          <w:szCs w:val="24"/>
        </w:rPr>
        <w:t xml:space="preserve"> evidence </w:t>
      </w:r>
      <w:r w:rsidR="00F60431">
        <w:rPr>
          <w:szCs w:val="24"/>
        </w:rPr>
        <w:t xml:space="preserve">he supplied </w:t>
      </w:r>
      <w:r w:rsidR="0086134F" w:rsidRPr="0086134F">
        <w:rPr>
          <w:szCs w:val="24"/>
        </w:rPr>
        <w:t xml:space="preserve">to prove his </w:t>
      </w:r>
      <w:r w:rsidR="009B3785">
        <w:rPr>
          <w:szCs w:val="24"/>
        </w:rPr>
        <w:t>point</w:t>
      </w:r>
      <w:r w:rsidR="0086134F" w:rsidRPr="0086134F">
        <w:rPr>
          <w:szCs w:val="24"/>
        </w:rPr>
        <w:t xml:space="preserve"> </w:t>
      </w:r>
      <w:r w:rsidR="00717489">
        <w:rPr>
          <w:szCs w:val="24"/>
        </w:rPr>
        <w:t>w</w:t>
      </w:r>
      <w:r w:rsidR="006C2570">
        <w:rPr>
          <w:szCs w:val="24"/>
        </w:rPr>
        <w:t xml:space="preserve">ere some </w:t>
      </w:r>
      <w:r w:rsidR="006C2570">
        <w:rPr>
          <w:szCs w:val="24"/>
        </w:rPr>
        <w:lastRenderedPageBreak/>
        <w:t xml:space="preserve">photographs taken during the Spring of </w:t>
      </w:r>
      <w:r w:rsidR="005D548D">
        <w:rPr>
          <w:szCs w:val="24"/>
        </w:rPr>
        <w:t xml:space="preserve">2020 when the </w:t>
      </w:r>
      <w:r w:rsidR="003C3382">
        <w:rPr>
          <w:szCs w:val="24"/>
        </w:rPr>
        <w:t>c</w:t>
      </w:r>
      <w:r w:rsidR="005D548D">
        <w:rPr>
          <w:szCs w:val="24"/>
        </w:rPr>
        <w:t>ountry was in the grip of a pandemic</w:t>
      </w:r>
      <w:r w:rsidR="00C005EA">
        <w:rPr>
          <w:szCs w:val="24"/>
        </w:rPr>
        <w:t xml:space="preserve">.   I do not believe that </w:t>
      </w:r>
      <w:r w:rsidR="00A27051">
        <w:rPr>
          <w:szCs w:val="24"/>
        </w:rPr>
        <w:t xml:space="preserve">these support his case.   </w:t>
      </w:r>
      <w:r w:rsidR="00F241BF">
        <w:rPr>
          <w:szCs w:val="24"/>
        </w:rPr>
        <w:t xml:space="preserve">I understand </w:t>
      </w:r>
      <w:r w:rsidR="00831EFF">
        <w:rPr>
          <w:szCs w:val="24"/>
        </w:rPr>
        <w:t xml:space="preserve">why he selects </w:t>
      </w:r>
      <w:r w:rsidR="0086134F" w:rsidRPr="0086134F">
        <w:rPr>
          <w:szCs w:val="24"/>
        </w:rPr>
        <w:t xml:space="preserve">75 spaces </w:t>
      </w:r>
      <w:r w:rsidR="003129F7" w:rsidRPr="0086134F">
        <w:rPr>
          <w:szCs w:val="24"/>
        </w:rPr>
        <w:t>as</w:t>
      </w:r>
      <w:r w:rsidR="0086134F" w:rsidRPr="0086134F">
        <w:rPr>
          <w:szCs w:val="24"/>
        </w:rPr>
        <w:t xml:space="preserve"> be</w:t>
      </w:r>
      <w:r w:rsidR="009837B5">
        <w:rPr>
          <w:szCs w:val="24"/>
        </w:rPr>
        <w:t>ing</w:t>
      </w:r>
      <w:r w:rsidR="0086134F" w:rsidRPr="0086134F">
        <w:rPr>
          <w:szCs w:val="24"/>
        </w:rPr>
        <w:t xml:space="preserve"> representative of the number lost</w:t>
      </w:r>
      <w:r w:rsidR="00F241BF">
        <w:rPr>
          <w:szCs w:val="24"/>
        </w:rPr>
        <w:t xml:space="preserve"> but</w:t>
      </w:r>
      <w:r w:rsidR="00410DF4">
        <w:rPr>
          <w:szCs w:val="24"/>
        </w:rPr>
        <w:t xml:space="preserve"> this </w:t>
      </w:r>
      <w:r w:rsidR="00B868B1">
        <w:rPr>
          <w:szCs w:val="24"/>
        </w:rPr>
        <w:t>appears</w:t>
      </w:r>
      <w:r w:rsidR="0086134F" w:rsidRPr="0086134F">
        <w:rPr>
          <w:szCs w:val="24"/>
        </w:rPr>
        <w:t xml:space="preserve"> </w:t>
      </w:r>
      <w:r w:rsidR="00C5233F">
        <w:rPr>
          <w:szCs w:val="24"/>
        </w:rPr>
        <w:t xml:space="preserve">to be an </w:t>
      </w:r>
      <w:r w:rsidR="0086134F" w:rsidRPr="0086134F">
        <w:rPr>
          <w:szCs w:val="24"/>
        </w:rPr>
        <w:t>arbitrary</w:t>
      </w:r>
      <w:r w:rsidR="00C5233F">
        <w:rPr>
          <w:szCs w:val="24"/>
        </w:rPr>
        <w:t xml:space="preserve"> choice</w:t>
      </w:r>
      <w:r w:rsidR="0086134F" w:rsidRPr="0086134F">
        <w:rPr>
          <w:szCs w:val="24"/>
        </w:rPr>
        <w:t xml:space="preserve">. </w:t>
      </w:r>
      <w:r w:rsidR="00C5233F">
        <w:rPr>
          <w:szCs w:val="24"/>
        </w:rPr>
        <w:t xml:space="preserve"> </w:t>
      </w:r>
      <w:r w:rsidR="00335FDD" w:rsidRPr="0086134F">
        <w:rPr>
          <w:szCs w:val="24"/>
        </w:rPr>
        <w:t>Similarly,</w:t>
      </w:r>
      <w:r w:rsidR="0086134F" w:rsidRPr="0086134F">
        <w:rPr>
          <w:szCs w:val="24"/>
        </w:rPr>
        <w:t xml:space="preserve"> he ask</w:t>
      </w:r>
      <w:r w:rsidR="007A7BC8">
        <w:rPr>
          <w:szCs w:val="24"/>
        </w:rPr>
        <w:t>s</w:t>
      </w:r>
      <w:r w:rsidR="0086134F" w:rsidRPr="0086134F">
        <w:rPr>
          <w:szCs w:val="24"/>
        </w:rPr>
        <w:t xml:space="preserve"> the Tribunal to rely on a yield derived from a professional opinion when in reality he has no evidence on which to base such a view. </w:t>
      </w:r>
    </w:p>
    <w:p w14:paraId="18C8520D" w14:textId="11794B1D" w:rsidR="0086134F" w:rsidRDefault="008134BB" w:rsidP="003129F7">
      <w:pPr>
        <w:spacing w:after="360" w:line="259" w:lineRule="auto"/>
        <w:ind w:left="720" w:hanging="720"/>
        <w:jc w:val="both"/>
        <w:rPr>
          <w:szCs w:val="24"/>
        </w:rPr>
      </w:pPr>
      <w:r>
        <w:rPr>
          <w:szCs w:val="24"/>
        </w:rPr>
        <w:t>8</w:t>
      </w:r>
      <w:r w:rsidR="0018375F">
        <w:rPr>
          <w:szCs w:val="24"/>
        </w:rPr>
        <w:t>6</w:t>
      </w:r>
      <w:r w:rsidR="003129F7">
        <w:rPr>
          <w:szCs w:val="24"/>
        </w:rPr>
        <w:t>.</w:t>
      </w:r>
      <w:r w:rsidR="003129F7">
        <w:rPr>
          <w:szCs w:val="24"/>
        </w:rPr>
        <w:tab/>
      </w:r>
      <w:r w:rsidR="0086134F" w:rsidRPr="0086134F">
        <w:rPr>
          <w:szCs w:val="24"/>
        </w:rPr>
        <w:t xml:space="preserve">It is clear from the evidence </w:t>
      </w:r>
      <w:r w:rsidR="00CE3E73">
        <w:rPr>
          <w:szCs w:val="24"/>
        </w:rPr>
        <w:t>that the</w:t>
      </w:r>
      <w:r w:rsidR="0086134F" w:rsidRPr="0086134F">
        <w:rPr>
          <w:szCs w:val="24"/>
        </w:rPr>
        <w:t xml:space="preserve"> car park land is also used for open storage, there being </w:t>
      </w:r>
      <w:r w:rsidR="00D46733" w:rsidRPr="0086134F">
        <w:rPr>
          <w:szCs w:val="24"/>
        </w:rPr>
        <w:t>nowhere</w:t>
      </w:r>
      <w:r w:rsidR="0086134F" w:rsidRPr="0086134F">
        <w:rPr>
          <w:szCs w:val="24"/>
        </w:rPr>
        <w:t xml:space="preserve"> in the </w:t>
      </w:r>
      <w:r w:rsidR="00A00B22">
        <w:rPr>
          <w:szCs w:val="24"/>
        </w:rPr>
        <w:t>g</w:t>
      </w:r>
      <w:r w:rsidR="0086134F" w:rsidRPr="0086134F">
        <w:rPr>
          <w:szCs w:val="24"/>
        </w:rPr>
        <w:t xml:space="preserve">arden </w:t>
      </w:r>
      <w:r w:rsidR="00A00B22">
        <w:rPr>
          <w:szCs w:val="24"/>
        </w:rPr>
        <w:t>c</w:t>
      </w:r>
      <w:r w:rsidR="0086134F" w:rsidRPr="0086134F">
        <w:rPr>
          <w:szCs w:val="24"/>
        </w:rPr>
        <w:t>entre</w:t>
      </w:r>
      <w:r w:rsidR="00E27EEE">
        <w:rPr>
          <w:szCs w:val="24"/>
        </w:rPr>
        <w:t xml:space="preserve"> itself</w:t>
      </w:r>
      <w:r w:rsidR="0086134F" w:rsidRPr="0086134F">
        <w:rPr>
          <w:szCs w:val="24"/>
        </w:rPr>
        <w:t xml:space="preserve"> to receive and process palletised deliveries. </w:t>
      </w:r>
      <w:r w:rsidR="000351D1">
        <w:rPr>
          <w:szCs w:val="24"/>
        </w:rPr>
        <w:t xml:space="preserve">In </w:t>
      </w:r>
      <w:r w:rsidR="00CE3568">
        <w:rPr>
          <w:szCs w:val="24"/>
        </w:rPr>
        <w:t>addition,</w:t>
      </w:r>
      <w:r w:rsidR="000351D1">
        <w:rPr>
          <w:szCs w:val="24"/>
        </w:rPr>
        <w:t xml:space="preserve"> </w:t>
      </w:r>
      <w:r w:rsidR="009B62CD">
        <w:rPr>
          <w:szCs w:val="24"/>
        </w:rPr>
        <w:t xml:space="preserve">part of it is used for a miniature railway and </w:t>
      </w:r>
      <w:r w:rsidR="00DE72B9">
        <w:rPr>
          <w:szCs w:val="24"/>
        </w:rPr>
        <w:t xml:space="preserve">other </w:t>
      </w:r>
      <w:r w:rsidR="000F2C8F">
        <w:rPr>
          <w:szCs w:val="24"/>
        </w:rPr>
        <w:t>land is utilised for covered stalls</w:t>
      </w:r>
      <w:r w:rsidR="00DE72B9">
        <w:rPr>
          <w:szCs w:val="24"/>
        </w:rPr>
        <w:t xml:space="preserve">.  </w:t>
      </w:r>
      <w:r w:rsidR="00573051">
        <w:rPr>
          <w:szCs w:val="24"/>
        </w:rPr>
        <w:t>Given that the land is put to more than one use</w:t>
      </w:r>
      <w:r w:rsidR="0086134F" w:rsidRPr="0086134F">
        <w:rPr>
          <w:szCs w:val="24"/>
        </w:rPr>
        <w:t xml:space="preserve"> </w:t>
      </w:r>
      <w:r w:rsidR="002B3644">
        <w:rPr>
          <w:szCs w:val="24"/>
        </w:rPr>
        <w:t xml:space="preserve">I agree with </w:t>
      </w:r>
      <w:r w:rsidR="0086134F" w:rsidRPr="0086134F">
        <w:rPr>
          <w:szCs w:val="24"/>
        </w:rPr>
        <w:t>Mr Coulson’s approach</w:t>
      </w:r>
      <w:r w:rsidR="00EA4E83">
        <w:rPr>
          <w:szCs w:val="24"/>
        </w:rPr>
        <w:t xml:space="preserve"> of </w:t>
      </w:r>
      <w:r w:rsidR="00F16AA9">
        <w:rPr>
          <w:szCs w:val="24"/>
        </w:rPr>
        <w:t>taking a simple proportion of the area</w:t>
      </w:r>
      <w:r w:rsidR="002B3644">
        <w:rPr>
          <w:szCs w:val="24"/>
        </w:rPr>
        <w:t xml:space="preserve">.   </w:t>
      </w:r>
      <w:r w:rsidR="00624AB7">
        <w:rPr>
          <w:szCs w:val="24"/>
        </w:rPr>
        <w:t xml:space="preserve">I am less convinced about his choice of </w:t>
      </w:r>
      <w:proofErr w:type="spellStart"/>
      <w:r w:rsidR="00624AB7">
        <w:rPr>
          <w:szCs w:val="24"/>
        </w:rPr>
        <w:t>comparables</w:t>
      </w:r>
      <w:proofErr w:type="spellEnd"/>
      <w:r w:rsidR="00624AB7">
        <w:rPr>
          <w:szCs w:val="24"/>
        </w:rPr>
        <w:t xml:space="preserve"> </w:t>
      </w:r>
      <w:r w:rsidR="00B22233">
        <w:rPr>
          <w:szCs w:val="24"/>
        </w:rPr>
        <w:t>to support the yield used to capitalise the rent</w:t>
      </w:r>
      <w:r w:rsidR="00554B2C">
        <w:rPr>
          <w:szCs w:val="24"/>
        </w:rPr>
        <w:t xml:space="preserve"> </w:t>
      </w:r>
      <w:r w:rsidR="00A51A42">
        <w:rPr>
          <w:szCs w:val="24"/>
        </w:rPr>
        <w:t>and</w:t>
      </w:r>
      <w:r w:rsidR="001A4465">
        <w:rPr>
          <w:szCs w:val="24"/>
        </w:rPr>
        <w:t xml:space="preserve"> he has </w:t>
      </w:r>
      <w:r w:rsidR="00AD4455">
        <w:rPr>
          <w:szCs w:val="24"/>
        </w:rPr>
        <w:t xml:space="preserve">not explained why a rent </w:t>
      </w:r>
      <w:r w:rsidR="000F76F6">
        <w:rPr>
          <w:szCs w:val="24"/>
        </w:rPr>
        <w:t xml:space="preserve">which he says was </w:t>
      </w:r>
      <w:r w:rsidR="00AD4455">
        <w:rPr>
          <w:szCs w:val="24"/>
        </w:rPr>
        <w:t xml:space="preserve">set </w:t>
      </w:r>
      <w:r w:rsidR="005013C3">
        <w:rPr>
          <w:szCs w:val="24"/>
        </w:rPr>
        <w:t>four years prior to the valuation date</w:t>
      </w:r>
      <w:r w:rsidR="00F057E7">
        <w:rPr>
          <w:szCs w:val="24"/>
        </w:rPr>
        <w:t>,</w:t>
      </w:r>
      <w:r w:rsidR="000F76F6">
        <w:rPr>
          <w:szCs w:val="24"/>
        </w:rPr>
        <w:t xml:space="preserve"> should not be considered reversionary.</w:t>
      </w:r>
      <w:r w:rsidR="005035A6">
        <w:rPr>
          <w:szCs w:val="24"/>
        </w:rPr>
        <w:t xml:space="preserve"> </w:t>
      </w:r>
      <w:r w:rsidR="00E27EEE">
        <w:rPr>
          <w:szCs w:val="24"/>
        </w:rPr>
        <w:t xml:space="preserve"> </w:t>
      </w:r>
      <w:r w:rsidR="008936B3">
        <w:rPr>
          <w:szCs w:val="24"/>
        </w:rPr>
        <w:t xml:space="preserve"> </w:t>
      </w:r>
      <w:r w:rsidR="0086134F" w:rsidRPr="0086134F">
        <w:rPr>
          <w:szCs w:val="24"/>
        </w:rPr>
        <w:t xml:space="preserve"> </w:t>
      </w:r>
      <w:r w:rsidR="00F057E7">
        <w:rPr>
          <w:szCs w:val="24"/>
        </w:rPr>
        <w:t>Neverthe</w:t>
      </w:r>
      <w:r w:rsidR="00EE40EC">
        <w:rPr>
          <w:szCs w:val="24"/>
        </w:rPr>
        <w:t xml:space="preserve">less, </w:t>
      </w:r>
      <w:r w:rsidR="00AA0A25">
        <w:rPr>
          <w:szCs w:val="24"/>
        </w:rPr>
        <w:t xml:space="preserve">his case is more persuasive that Mr Church’s and I therefore </w:t>
      </w:r>
      <w:r w:rsidR="00924999">
        <w:rPr>
          <w:szCs w:val="24"/>
        </w:rPr>
        <w:t>determine a value of £107,90</w:t>
      </w:r>
      <w:r w:rsidR="00F344F0">
        <w:rPr>
          <w:szCs w:val="24"/>
        </w:rPr>
        <w:t>5 which I round to £1</w:t>
      </w:r>
      <w:r w:rsidR="003007EB">
        <w:rPr>
          <w:szCs w:val="24"/>
        </w:rPr>
        <w:t>0</w:t>
      </w:r>
      <w:r w:rsidR="00F344F0">
        <w:rPr>
          <w:szCs w:val="24"/>
        </w:rPr>
        <w:t>7,900</w:t>
      </w:r>
      <w:r w:rsidR="00E438D4">
        <w:rPr>
          <w:szCs w:val="24"/>
        </w:rPr>
        <w:t>.</w:t>
      </w:r>
    </w:p>
    <w:p w14:paraId="752811A2" w14:textId="5D1A45BF" w:rsidR="0056168D" w:rsidRDefault="0056168D" w:rsidP="0056168D">
      <w:pPr>
        <w:pStyle w:val="Normal2"/>
        <w:rPr>
          <w:b/>
          <w:szCs w:val="24"/>
        </w:rPr>
      </w:pPr>
      <w:r w:rsidRPr="003734CF">
        <w:rPr>
          <w:b/>
          <w:szCs w:val="24"/>
        </w:rPr>
        <w:t>Severance and Injurious Affection</w:t>
      </w:r>
    </w:p>
    <w:p w14:paraId="0C64C5CC" w14:textId="5C8C3E7A" w:rsidR="00A26F55" w:rsidRDefault="00A26F55" w:rsidP="0056168D">
      <w:pPr>
        <w:pStyle w:val="Normal2"/>
        <w:rPr>
          <w:b/>
          <w:szCs w:val="24"/>
        </w:rPr>
      </w:pPr>
    </w:p>
    <w:p w14:paraId="6FD0A58F" w14:textId="2FDB5832" w:rsidR="003A58AB" w:rsidRPr="003A58AB" w:rsidRDefault="008134BB" w:rsidP="002B0A9D">
      <w:pPr>
        <w:pStyle w:val="NormalWeb"/>
        <w:spacing w:before="0" w:beforeAutospacing="0" w:after="0" w:afterAutospacing="0"/>
        <w:ind w:left="720" w:hanging="720"/>
        <w:jc w:val="both"/>
      </w:pPr>
      <w:r>
        <w:t>8</w:t>
      </w:r>
      <w:r w:rsidR="0018375F">
        <w:t>7</w:t>
      </w:r>
      <w:r w:rsidR="00C1158F">
        <w:t>.</w:t>
      </w:r>
      <w:r w:rsidR="00C1158F">
        <w:tab/>
      </w:r>
      <w:r w:rsidR="00A26F55" w:rsidRPr="002F4F45">
        <w:t xml:space="preserve">The </w:t>
      </w:r>
      <w:r w:rsidR="00407FA7" w:rsidRPr="002F4F45">
        <w:t xml:space="preserve">Tribunal heard evidence in relation to severance and injurious affection in </w:t>
      </w:r>
      <w:r w:rsidR="002665F0" w:rsidRPr="002F4F45">
        <w:t>connection with the grazing land</w:t>
      </w:r>
      <w:r w:rsidR="00AB2866" w:rsidRPr="002F4F45">
        <w:t xml:space="preserve">, </w:t>
      </w:r>
      <w:r w:rsidR="002665F0" w:rsidRPr="002F4F45">
        <w:t>the car park land</w:t>
      </w:r>
      <w:r w:rsidR="00073993" w:rsidRPr="002F4F45">
        <w:t>, the easements</w:t>
      </w:r>
      <w:r w:rsidR="00AB2866" w:rsidRPr="002F4F45">
        <w:t xml:space="preserve"> and the telecommunications site</w:t>
      </w:r>
      <w:r w:rsidR="002665F0" w:rsidRPr="002F4F45">
        <w:t>.  I will therefore deal with them separately.</w:t>
      </w:r>
      <w:r w:rsidR="003A58AB" w:rsidRPr="003A58AB">
        <w:t xml:space="preserve">   The Compulsory Purchase Act </w:t>
      </w:r>
      <w:r w:rsidR="003A58AB" w:rsidRPr="0087456C">
        <w:t xml:space="preserve">1965 </w:t>
      </w:r>
      <w:r w:rsidR="009E20E4">
        <w:t>s</w:t>
      </w:r>
      <w:r w:rsidR="009E20E4" w:rsidRPr="0087456C">
        <w:t xml:space="preserve">ection </w:t>
      </w:r>
      <w:r w:rsidR="003A58AB" w:rsidRPr="0087456C">
        <w:t>7</w:t>
      </w:r>
      <w:r w:rsidR="003A58AB" w:rsidRPr="003A58AB">
        <w:t xml:space="preserve"> sets out the </w:t>
      </w:r>
      <w:r w:rsidR="00B02E9D">
        <w:t xml:space="preserve">entitlement to </w:t>
      </w:r>
      <w:r w:rsidR="003A58AB" w:rsidRPr="003A58AB">
        <w:t>compensation in case of severance as follows:</w:t>
      </w:r>
    </w:p>
    <w:p w14:paraId="326C4D05" w14:textId="77777777" w:rsidR="003A58AB" w:rsidRPr="003A58AB" w:rsidRDefault="003A58AB" w:rsidP="002B0A9D">
      <w:pPr>
        <w:pStyle w:val="NormalWeb"/>
        <w:spacing w:before="0" w:beforeAutospacing="0" w:after="0" w:afterAutospacing="0"/>
        <w:jc w:val="both"/>
      </w:pPr>
      <w:r w:rsidRPr="003A58AB">
        <w:t> </w:t>
      </w:r>
    </w:p>
    <w:p w14:paraId="7FD38C35" w14:textId="137A3E82" w:rsidR="003A58AB" w:rsidRPr="003A58AB" w:rsidRDefault="003A58AB" w:rsidP="002B0A9D">
      <w:pPr>
        <w:pStyle w:val="NormalWeb"/>
        <w:spacing w:before="0" w:beforeAutospacing="0" w:after="0" w:afterAutospacing="0"/>
        <w:ind w:left="1440"/>
        <w:jc w:val="both"/>
      </w:pPr>
      <w:r w:rsidRPr="003A58AB">
        <w:t>“In assessing the compensation to be paid by the acquiring authority under this Act regard shall be had not only to the value of the land to be purchased by the acquiring authority, but also to the damage, if any, to be sustained by the owner of the land by reason of the severing of the land purchased from the other land of the owner, or otherwise injuriously affecting that other land by the exercise of the powers conferred by this or the special Act.”</w:t>
      </w:r>
    </w:p>
    <w:p w14:paraId="615AD3F9" w14:textId="77777777" w:rsidR="007B129F" w:rsidRDefault="007B129F" w:rsidP="0056168D">
      <w:pPr>
        <w:pStyle w:val="Normal2"/>
        <w:rPr>
          <w:szCs w:val="24"/>
        </w:rPr>
      </w:pPr>
    </w:p>
    <w:p w14:paraId="339A0159" w14:textId="74183FF7" w:rsidR="0056168D" w:rsidRPr="002F4F45" w:rsidRDefault="00125A20" w:rsidP="00E9767E">
      <w:pPr>
        <w:pStyle w:val="Normal2"/>
        <w:spacing w:after="360"/>
        <w:rPr>
          <w:i/>
          <w:iCs/>
          <w:szCs w:val="24"/>
        </w:rPr>
      </w:pPr>
      <w:r w:rsidRPr="002F4F45">
        <w:rPr>
          <w:i/>
          <w:iCs/>
          <w:szCs w:val="24"/>
        </w:rPr>
        <w:t>The Grazing Land</w:t>
      </w:r>
    </w:p>
    <w:p w14:paraId="44284F8B" w14:textId="21778AA0" w:rsidR="00287932" w:rsidRDefault="008134BB" w:rsidP="00E9767E">
      <w:pPr>
        <w:pStyle w:val="Normal2"/>
        <w:spacing w:after="360"/>
        <w:ind w:left="720" w:hanging="720"/>
        <w:rPr>
          <w:szCs w:val="24"/>
        </w:rPr>
      </w:pPr>
      <w:r>
        <w:rPr>
          <w:szCs w:val="24"/>
        </w:rPr>
        <w:t>8</w:t>
      </w:r>
      <w:r w:rsidR="0018375F">
        <w:rPr>
          <w:szCs w:val="24"/>
        </w:rPr>
        <w:t>8</w:t>
      </w:r>
      <w:r w:rsidR="00C1158F">
        <w:rPr>
          <w:szCs w:val="24"/>
        </w:rPr>
        <w:t>.</w:t>
      </w:r>
      <w:r w:rsidR="00C1158F">
        <w:rPr>
          <w:szCs w:val="24"/>
        </w:rPr>
        <w:tab/>
      </w:r>
      <w:r w:rsidR="00287932">
        <w:rPr>
          <w:szCs w:val="24"/>
        </w:rPr>
        <w:t xml:space="preserve">Following the acquisition </w:t>
      </w:r>
      <w:r w:rsidR="00871A68">
        <w:rPr>
          <w:szCs w:val="24"/>
        </w:rPr>
        <w:t xml:space="preserve">for the scheme the claimants </w:t>
      </w:r>
      <w:r w:rsidR="000202DC">
        <w:rPr>
          <w:szCs w:val="24"/>
        </w:rPr>
        <w:t xml:space="preserve">have been left with </w:t>
      </w:r>
      <w:r w:rsidR="000C1611">
        <w:rPr>
          <w:szCs w:val="24"/>
        </w:rPr>
        <w:t>7.44 acres (</w:t>
      </w:r>
      <w:r w:rsidR="000202DC">
        <w:rPr>
          <w:szCs w:val="24"/>
        </w:rPr>
        <w:t>3.01 hectares</w:t>
      </w:r>
      <w:r w:rsidR="000C1611">
        <w:rPr>
          <w:szCs w:val="24"/>
        </w:rPr>
        <w:t>)</w:t>
      </w:r>
      <w:r w:rsidR="000202DC">
        <w:rPr>
          <w:szCs w:val="24"/>
        </w:rPr>
        <w:t xml:space="preserve"> of grazing land.</w:t>
      </w:r>
      <w:r w:rsidR="007E667F">
        <w:rPr>
          <w:szCs w:val="24"/>
        </w:rPr>
        <w:t xml:space="preserve">   The only access to th</w:t>
      </w:r>
      <w:r w:rsidR="0038756E">
        <w:rPr>
          <w:szCs w:val="24"/>
        </w:rPr>
        <w:t>at</w:t>
      </w:r>
      <w:r w:rsidR="007E667F">
        <w:rPr>
          <w:szCs w:val="24"/>
        </w:rPr>
        <w:t xml:space="preserve"> land is </w:t>
      </w:r>
      <w:r w:rsidR="0040451E">
        <w:rPr>
          <w:szCs w:val="24"/>
        </w:rPr>
        <w:t xml:space="preserve">either </w:t>
      </w:r>
      <w:r w:rsidR="007E667F">
        <w:rPr>
          <w:szCs w:val="24"/>
        </w:rPr>
        <w:t xml:space="preserve">over </w:t>
      </w:r>
      <w:r w:rsidR="00602DCC">
        <w:rPr>
          <w:szCs w:val="24"/>
        </w:rPr>
        <w:t xml:space="preserve">land in the </w:t>
      </w:r>
      <w:r w:rsidR="009C36B2">
        <w:rPr>
          <w:szCs w:val="24"/>
        </w:rPr>
        <w:t xml:space="preserve">occupation of </w:t>
      </w:r>
      <w:r w:rsidR="0017522B">
        <w:rPr>
          <w:szCs w:val="24"/>
        </w:rPr>
        <w:t>the garden</w:t>
      </w:r>
      <w:r w:rsidR="00602DCC">
        <w:rPr>
          <w:szCs w:val="24"/>
        </w:rPr>
        <w:t xml:space="preserve"> centre or </w:t>
      </w:r>
      <w:r w:rsidR="0040451E">
        <w:rPr>
          <w:szCs w:val="24"/>
        </w:rPr>
        <w:t xml:space="preserve">over land </w:t>
      </w:r>
      <w:r w:rsidR="002C7478">
        <w:rPr>
          <w:szCs w:val="24"/>
        </w:rPr>
        <w:t>in the ownership of the adjacent farm</w:t>
      </w:r>
      <w:r w:rsidR="00B92FC2">
        <w:rPr>
          <w:szCs w:val="24"/>
        </w:rPr>
        <w:t>.  According to Mr Coulson, t</w:t>
      </w:r>
      <w:r w:rsidR="0017522B">
        <w:rPr>
          <w:szCs w:val="24"/>
        </w:rPr>
        <w:t xml:space="preserve">he freehold owner of the garden centre </w:t>
      </w:r>
      <w:r w:rsidR="00A41DB4">
        <w:rPr>
          <w:szCs w:val="24"/>
        </w:rPr>
        <w:t>has said</w:t>
      </w:r>
      <w:r w:rsidR="00855C88">
        <w:rPr>
          <w:szCs w:val="24"/>
        </w:rPr>
        <w:t xml:space="preserve"> </w:t>
      </w:r>
      <w:r w:rsidR="00A41DB4">
        <w:rPr>
          <w:szCs w:val="24"/>
        </w:rPr>
        <w:t xml:space="preserve">that they will </w:t>
      </w:r>
      <w:r w:rsidR="00BA5B46">
        <w:rPr>
          <w:szCs w:val="24"/>
        </w:rPr>
        <w:t>only be prepared to grant a right of way as long as th</w:t>
      </w:r>
      <w:r w:rsidR="00862B76">
        <w:rPr>
          <w:szCs w:val="24"/>
        </w:rPr>
        <w:t>e garden centre remains open for business</w:t>
      </w:r>
      <w:r w:rsidR="0041362A">
        <w:rPr>
          <w:szCs w:val="24"/>
        </w:rPr>
        <w:t xml:space="preserve">, leaving the </w:t>
      </w:r>
      <w:r w:rsidR="003C1178">
        <w:rPr>
          <w:szCs w:val="24"/>
        </w:rPr>
        <w:t>claimants reliant on an informal, verbal agreement.</w:t>
      </w:r>
    </w:p>
    <w:p w14:paraId="2C555BBC" w14:textId="067CDB6C" w:rsidR="00555D31" w:rsidRDefault="0018375F" w:rsidP="00E9767E">
      <w:pPr>
        <w:pStyle w:val="Normal2"/>
        <w:spacing w:after="360"/>
        <w:ind w:left="720" w:hanging="720"/>
        <w:rPr>
          <w:szCs w:val="24"/>
        </w:rPr>
      </w:pPr>
      <w:r>
        <w:rPr>
          <w:szCs w:val="24"/>
        </w:rPr>
        <w:t>89</w:t>
      </w:r>
      <w:r w:rsidR="00C1158F">
        <w:rPr>
          <w:szCs w:val="24"/>
        </w:rPr>
        <w:t>.</w:t>
      </w:r>
      <w:r w:rsidR="00C1158F">
        <w:rPr>
          <w:szCs w:val="24"/>
        </w:rPr>
        <w:tab/>
      </w:r>
      <w:r w:rsidR="00961F07">
        <w:rPr>
          <w:szCs w:val="24"/>
        </w:rPr>
        <w:t xml:space="preserve">In his report </w:t>
      </w:r>
      <w:r w:rsidR="004F4F35">
        <w:rPr>
          <w:szCs w:val="24"/>
        </w:rPr>
        <w:t xml:space="preserve">Mr Coulson </w:t>
      </w:r>
      <w:r w:rsidR="008E438A">
        <w:rPr>
          <w:szCs w:val="24"/>
        </w:rPr>
        <w:t xml:space="preserve">states that the market value of the grazing land is </w:t>
      </w:r>
      <w:r w:rsidR="005C0E45">
        <w:rPr>
          <w:szCs w:val="24"/>
        </w:rPr>
        <w:t>£36,000</w:t>
      </w:r>
      <w:r w:rsidR="00961F07">
        <w:rPr>
          <w:szCs w:val="24"/>
        </w:rPr>
        <w:t xml:space="preserve"> per acre (a figure which </w:t>
      </w:r>
      <w:r w:rsidR="0055115D">
        <w:rPr>
          <w:szCs w:val="24"/>
        </w:rPr>
        <w:t>does not tally with his earlier valuation)</w:t>
      </w:r>
      <w:r w:rsidR="007262EE">
        <w:rPr>
          <w:szCs w:val="24"/>
        </w:rPr>
        <w:t>, resulting in a valuation of £</w:t>
      </w:r>
      <w:r w:rsidR="00225A08">
        <w:rPr>
          <w:szCs w:val="24"/>
        </w:rPr>
        <w:t>267,840.</w:t>
      </w:r>
      <w:r w:rsidR="00A86C0D">
        <w:rPr>
          <w:szCs w:val="24"/>
        </w:rPr>
        <w:t xml:space="preserve">    </w:t>
      </w:r>
      <w:r w:rsidR="00DF5C6E">
        <w:rPr>
          <w:szCs w:val="24"/>
        </w:rPr>
        <w:t xml:space="preserve">He regards the land as being landlocked </w:t>
      </w:r>
      <w:r w:rsidR="00CA7FEA">
        <w:rPr>
          <w:szCs w:val="24"/>
        </w:rPr>
        <w:t xml:space="preserve">having previously enjoyed the benefit of access directly from </w:t>
      </w:r>
      <w:r w:rsidR="008844F1">
        <w:rPr>
          <w:szCs w:val="24"/>
        </w:rPr>
        <w:t xml:space="preserve">Macclesfield Road.   In his view there is no realistic </w:t>
      </w:r>
      <w:r w:rsidR="00E213E2">
        <w:rPr>
          <w:szCs w:val="24"/>
        </w:rPr>
        <w:t xml:space="preserve">prospect of taking farm machinery or livestock through the garden centre and the tenant </w:t>
      </w:r>
      <w:r w:rsidR="007A6EBE">
        <w:rPr>
          <w:szCs w:val="24"/>
        </w:rPr>
        <w:t xml:space="preserve">farmer must </w:t>
      </w:r>
      <w:r w:rsidR="007A6EBE">
        <w:rPr>
          <w:szCs w:val="24"/>
        </w:rPr>
        <w:lastRenderedPageBreak/>
        <w:t>cross the Norbury Brook</w:t>
      </w:r>
      <w:r w:rsidR="003A4FCB">
        <w:rPr>
          <w:szCs w:val="24"/>
        </w:rPr>
        <w:t xml:space="preserve"> from his adjoining land.   To </w:t>
      </w:r>
      <w:r w:rsidR="00723F83">
        <w:rPr>
          <w:szCs w:val="24"/>
        </w:rPr>
        <w:t xml:space="preserve">take account of these difficulties Mr Coulson </w:t>
      </w:r>
      <w:r w:rsidR="00310FE6">
        <w:rPr>
          <w:szCs w:val="24"/>
        </w:rPr>
        <w:t xml:space="preserve">adjusts the value of the land by 75% </w:t>
      </w:r>
      <w:r w:rsidR="00FD6AF2">
        <w:rPr>
          <w:szCs w:val="24"/>
        </w:rPr>
        <w:t>equating to</w:t>
      </w:r>
      <w:r w:rsidR="007107E5">
        <w:rPr>
          <w:szCs w:val="24"/>
        </w:rPr>
        <w:t xml:space="preserve"> a </w:t>
      </w:r>
      <w:r w:rsidR="0038756E">
        <w:rPr>
          <w:szCs w:val="24"/>
        </w:rPr>
        <w:t xml:space="preserve">reduction </w:t>
      </w:r>
      <w:r w:rsidR="007107E5">
        <w:rPr>
          <w:szCs w:val="24"/>
        </w:rPr>
        <w:t>of £</w:t>
      </w:r>
      <w:r w:rsidR="009D41A8">
        <w:rPr>
          <w:szCs w:val="24"/>
        </w:rPr>
        <w:t>200</w:t>
      </w:r>
      <w:r w:rsidR="00952D15">
        <w:rPr>
          <w:szCs w:val="24"/>
        </w:rPr>
        <w:t>,880</w:t>
      </w:r>
      <w:r w:rsidR="0038756E">
        <w:rPr>
          <w:szCs w:val="24"/>
        </w:rPr>
        <w:t xml:space="preserve"> to £</w:t>
      </w:r>
      <w:r w:rsidR="00952D15">
        <w:rPr>
          <w:szCs w:val="24"/>
        </w:rPr>
        <w:t>66,960</w:t>
      </w:r>
      <w:r w:rsidR="00D94554">
        <w:rPr>
          <w:szCs w:val="24"/>
        </w:rPr>
        <w:t>.</w:t>
      </w:r>
    </w:p>
    <w:p w14:paraId="683C4DAB" w14:textId="66036C0F" w:rsidR="00B562B8" w:rsidRDefault="00C1158F" w:rsidP="00E9767E">
      <w:pPr>
        <w:pStyle w:val="Normal2"/>
        <w:spacing w:after="360"/>
        <w:ind w:left="720" w:hanging="720"/>
        <w:rPr>
          <w:szCs w:val="24"/>
        </w:rPr>
      </w:pPr>
      <w:r>
        <w:rPr>
          <w:szCs w:val="24"/>
        </w:rPr>
        <w:t>9</w:t>
      </w:r>
      <w:r w:rsidR="0018375F">
        <w:rPr>
          <w:szCs w:val="24"/>
        </w:rPr>
        <w:t>0</w:t>
      </w:r>
      <w:r>
        <w:rPr>
          <w:szCs w:val="24"/>
        </w:rPr>
        <w:t>.</w:t>
      </w:r>
      <w:r>
        <w:rPr>
          <w:szCs w:val="24"/>
        </w:rPr>
        <w:tab/>
      </w:r>
      <w:r w:rsidR="00B562B8">
        <w:rPr>
          <w:szCs w:val="24"/>
        </w:rPr>
        <w:t xml:space="preserve">Mr Church </w:t>
      </w:r>
      <w:r w:rsidR="00FA3EF8">
        <w:rPr>
          <w:szCs w:val="24"/>
        </w:rPr>
        <w:t>d</w:t>
      </w:r>
      <w:r w:rsidR="00CF4F44">
        <w:rPr>
          <w:szCs w:val="24"/>
        </w:rPr>
        <w:t>id</w:t>
      </w:r>
      <w:r w:rsidR="00FA3EF8">
        <w:rPr>
          <w:szCs w:val="24"/>
        </w:rPr>
        <w:t xml:space="preserve"> not dispute that the land </w:t>
      </w:r>
      <w:r w:rsidR="006B079B">
        <w:rPr>
          <w:szCs w:val="24"/>
        </w:rPr>
        <w:t xml:space="preserve">no longer has direct access to a public highway but says that </w:t>
      </w:r>
      <w:r w:rsidR="00691B06">
        <w:rPr>
          <w:szCs w:val="24"/>
        </w:rPr>
        <w:t>at the valuation date the previous access was blocked by agricult</w:t>
      </w:r>
      <w:r w:rsidR="005F51B0">
        <w:rPr>
          <w:szCs w:val="24"/>
        </w:rPr>
        <w:t>ural machinery and seemingly had not been used for many years</w:t>
      </w:r>
      <w:r w:rsidR="00CF450A">
        <w:rPr>
          <w:szCs w:val="24"/>
        </w:rPr>
        <w:t>.   Th</w:t>
      </w:r>
      <w:r w:rsidR="00502442">
        <w:rPr>
          <w:szCs w:val="24"/>
        </w:rPr>
        <w:t>e tenant ha</w:t>
      </w:r>
      <w:r w:rsidR="0031351D">
        <w:rPr>
          <w:szCs w:val="24"/>
        </w:rPr>
        <w:t>s</w:t>
      </w:r>
      <w:r w:rsidR="00502442">
        <w:rPr>
          <w:szCs w:val="24"/>
        </w:rPr>
        <w:t xml:space="preserve"> accessed the land from </w:t>
      </w:r>
      <w:r w:rsidR="00C66B5D">
        <w:rPr>
          <w:szCs w:val="24"/>
        </w:rPr>
        <w:t>his farm on the other side of the brook.</w:t>
      </w:r>
      <w:r w:rsidR="00282F16">
        <w:rPr>
          <w:szCs w:val="24"/>
        </w:rPr>
        <w:t xml:space="preserve">   He also s</w:t>
      </w:r>
      <w:r w:rsidR="00CF4F44">
        <w:rPr>
          <w:szCs w:val="24"/>
        </w:rPr>
        <w:t>aid</w:t>
      </w:r>
      <w:r w:rsidR="00282F16">
        <w:rPr>
          <w:szCs w:val="24"/>
        </w:rPr>
        <w:t xml:space="preserve"> that the rent </w:t>
      </w:r>
      <w:r w:rsidR="0060736A">
        <w:rPr>
          <w:szCs w:val="24"/>
        </w:rPr>
        <w:t xml:space="preserve">received for the land did not reduce after the completion of the scheme and </w:t>
      </w:r>
      <w:r w:rsidR="00D56E8D">
        <w:rPr>
          <w:szCs w:val="24"/>
        </w:rPr>
        <w:t xml:space="preserve">he considers that the loss of the highway access </w:t>
      </w:r>
      <w:r w:rsidR="00EB03BC">
        <w:rPr>
          <w:szCs w:val="24"/>
        </w:rPr>
        <w:t>has</w:t>
      </w:r>
      <w:r w:rsidR="00D56E8D">
        <w:rPr>
          <w:szCs w:val="24"/>
        </w:rPr>
        <w:t xml:space="preserve"> no effect on value.</w:t>
      </w:r>
      <w:r w:rsidR="007060E8">
        <w:rPr>
          <w:szCs w:val="24"/>
        </w:rPr>
        <w:t xml:space="preserve">   I should add at this point that M</w:t>
      </w:r>
      <w:r w:rsidR="00EB6C2F">
        <w:rPr>
          <w:szCs w:val="24"/>
        </w:rPr>
        <w:t>r Jame</w:t>
      </w:r>
      <w:r w:rsidR="00F12C91">
        <w:rPr>
          <w:szCs w:val="24"/>
        </w:rPr>
        <w:t xml:space="preserve">s </w:t>
      </w:r>
      <w:r w:rsidR="00EB6C2F">
        <w:rPr>
          <w:szCs w:val="24"/>
        </w:rPr>
        <w:t>Wainwright</w:t>
      </w:r>
      <w:r w:rsidR="00F12C91">
        <w:rPr>
          <w:szCs w:val="24"/>
        </w:rPr>
        <w:t xml:space="preserve">, the tenant farmer in question, </w:t>
      </w:r>
      <w:r w:rsidR="00994E81">
        <w:rPr>
          <w:szCs w:val="24"/>
        </w:rPr>
        <w:t xml:space="preserve">is now deceased but was alive at </w:t>
      </w:r>
      <w:r w:rsidR="00F12C91">
        <w:rPr>
          <w:szCs w:val="24"/>
        </w:rPr>
        <w:t>the valuation date</w:t>
      </w:r>
      <w:r w:rsidR="00994E81">
        <w:rPr>
          <w:szCs w:val="24"/>
        </w:rPr>
        <w:t xml:space="preserve"> and </w:t>
      </w:r>
      <w:r w:rsidR="0013320F">
        <w:rPr>
          <w:szCs w:val="24"/>
        </w:rPr>
        <w:t>subsequently</w:t>
      </w:r>
      <w:r w:rsidR="00F12C91">
        <w:rPr>
          <w:szCs w:val="24"/>
        </w:rPr>
        <w:t>.</w:t>
      </w:r>
    </w:p>
    <w:p w14:paraId="198F9128" w14:textId="470C2759" w:rsidR="0013320F" w:rsidRDefault="00C1158F" w:rsidP="00E9767E">
      <w:pPr>
        <w:pStyle w:val="Normal2"/>
        <w:spacing w:after="360"/>
        <w:ind w:left="720" w:hanging="720"/>
        <w:rPr>
          <w:szCs w:val="24"/>
        </w:rPr>
      </w:pPr>
      <w:r>
        <w:rPr>
          <w:szCs w:val="24"/>
        </w:rPr>
        <w:t>9</w:t>
      </w:r>
      <w:r w:rsidR="0018375F">
        <w:rPr>
          <w:szCs w:val="24"/>
        </w:rPr>
        <w:t>1</w:t>
      </w:r>
      <w:r>
        <w:rPr>
          <w:szCs w:val="24"/>
        </w:rPr>
        <w:t>.</w:t>
      </w:r>
      <w:r>
        <w:rPr>
          <w:szCs w:val="24"/>
        </w:rPr>
        <w:tab/>
      </w:r>
      <w:r w:rsidR="00BC27D1">
        <w:rPr>
          <w:szCs w:val="24"/>
        </w:rPr>
        <w:t>Mr Church consider</w:t>
      </w:r>
      <w:r w:rsidR="00EC206B">
        <w:rPr>
          <w:szCs w:val="24"/>
        </w:rPr>
        <w:t>ed</w:t>
      </w:r>
      <w:r w:rsidR="00BC27D1">
        <w:rPr>
          <w:szCs w:val="24"/>
        </w:rPr>
        <w:t xml:space="preserve"> </w:t>
      </w:r>
      <w:r w:rsidR="00F24CCC">
        <w:rPr>
          <w:szCs w:val="24"/>
        </w:rPr>
        <w:t xml:space="preserve">Mr Wainwright or his successors </w:t>
      </w:r>
      <w:r w:rsidR="00514603">
        <w:rPr>
          <w:szCs w:val="24"/>
        </w:rPr>
        <w:t xml:space="preserve">to be the most </w:t>
      </w:r>
      <w:r w:rsidR="00440B02">
        <w:rPr>
          <w:szCs w:val="24"/>
        </w:rPr>
        <w:t>likely purchaser of the retained land</w:t>
      </w:r>
      <w:r w:rsidR="008D2873">
        <w:rPr>
          <w:szCs w:val="24"/>
        </w:rPr>
        <w:t xml:space="preserve">.   He </w:t>
      </w:r>
      <w:r w:rsidR="00EC206B">
        <w:rPr>
          <w:szCs w:val="24"/>
        </w:rPr>
        <w:t>was</w:t>
      </w:r>
      <w:r w:rsidR="008D2873">
        <w:rPr>
          <w:szCs w:val="24"/>
        </w:rPr>
        <w:t xml:space="preserve"> a special purchaser </w:t>
      </w:r>
      <w:r w:rsidR="004A53F5">
        <w:rPr>
          <w:szCs w:val="24"/>
        </w:rPr>
        <w:t>being the only person with direct access to the land</w:t>
      </w:r>
      <w:r w:rsidR="008F19F4">
        <w:rPr>
          <w:szCs w:val="24"/>
        </w:rPr>
        <w:t xml:space="preserve"> and would</w:t>
      </w:r>
      <w:r w:rsidR="003E0D45">
        <w:rPr>
          <w:szCs w:val="24"/>
        </w:rPr>
        <w:t xml:space="preserve"> seek a discount </w:t>
      </w:r>
      <w:r w:rsidR="00CF577C">
        <w:rPr>
          <w:szCs w:val="24"/>
        </w:rPr>
        <w:t xml:space="preserve">from full value.   The owner, according to Mr Church, would </w:t>
      </w:r>
      <w:r w:rsidR="00AE3983">
        <w:rPr>
          <w:szCs w:val="24"/>
        </w:rPr>
        <w:t xml:space="preserve">be mindful that the land is </w:t>
      </w:r>
      <w:r w:rsidR="00445587">
        <w:rPr>
          <w:szCs w:val="24"/>
        </w:rPr>
        <w:t>of particular interest to the special purchaser.</w:t>
      </w:r>
      <w:r w:rsidR="005D65BE">
        <w:rPr>
          <w:szCs w:val="24"/>
        </w:rPr>
        <w:t xml:space="preserve">   Land let under secure agricultural </w:t>
      </w:r>
      <w:r w:rsidR="00AC1C8F">
        <w:rPr>
          <w:szCs w:val="24"/>
        </w:rPr>
        <w:t>tenancies</w:t>
      </w:r>
      <w:r w:rsidR="00AF59CC">
        <w:rPr>
          <w:szCs w:val="24"/>
        </w:rPr>
        <w:t xml:space="preserve"> has a yield of 1-2% </w:t>
      </w:r>
      <w:r w:rsidR="00B00EAE">
        <w:rPr>
          <w:szCs w:val="24"/>
        </w:rPr>
        <w:t>depending on factors including the age of the tenant and the number of extant successors</w:t>
      </w:r>
      <w:r w:rsidR="002F53DF">
        <w:rPr>
          <w:szCs w:val="24"/>
        </w:rPr>
        <w:t>.</w:t>
      </w:r>
      <w:r w:rsidR="000233FC">
        <w:rPr>
          <w:szCs w:val="24"/>
        </w:rPr>
        <w:t xml:space="preserve"> </w:t>
      </w:r>
      <w:r w:rsidR="003038A8">
        <w:rPr>
          <w:szCs w:val="24"/>
        </w:rPr>
        <w:t xml:space="preserve">This land is </w:t>
      </w:r>
      <w:r w:rsidR="00F86EEE">
        <w:rPr>
          <w:szCs w:val="24"/>
        </w:rPr>
        <w:t>occupied</w:t>
      </w:r>
      <w:r w:rsidR="003038A8">
        <w:rPr>
          <w:szCs w:val="24"/>
        </w:rPr>
        <w:t xml:space="preserve"> on a </w:t>
      </w:r>
      <w:r w:rsidR="005106FB">
        <w:rPr>
          <w:szCs w:val="24"/>
        </w:rPr>
        <w:t>licence</w:t>
      </w:r>
      <w:r w:rsidR="003038A8">
        <w:rPr>
          <w:szCs w:val="24"/>
        </w:rPr>
        <w:t xml:space="preserve"> where </w:t>
      </w:r>
      <w:r w:rsidR="00014787">
        <w:rPr>
          <w:szCs w:val="24"/>
        </w:rPr>
        <w:t>possession is eas</w:t>
      </w:r>
      <w:r w:rsidR="00680632">
        <w:rPr>
          <w:szCs w:val="24"/>
        </w:rPr>
        <w:t>y</w:t>
      </w:r>
      <w:r w:rsidR="00014787">
        <w:rPr>
          <w:szCs w:val="24"/>
        </w:rPr>
        <w:t xml:space="preserve"> to obtain.   Noting a p</w:t>
      </w:r>
      <w:r w:rsidR="00155E91">
        <w:rPr>
          <w:szCs w:val="24"/>
        </w:rPr>
        <w:t xml:space="preserve">aucity of </w:t>
      </w:r>
      <w:proofErr w:type="spellStart"/>
      <w:r w:rsidR="00155E91">
        <w:rPr>
          <w:szCs w:val="24"/>
        </w:rPr>
        <w:t>comparables</w:t>
      </w:r>
      <w:proofErr w:type="spellEnd"/>
      <w:r w:rsidR="00155E91">
        <w:rPr>
          <w:szCs w:val="24"/>
        </w:rPr>
        <w:t xml:space="preserve"> for this type of situation</w:t>
      </w:r>
      <w:r w:rsidR="009C6B61">
        <w:rPr>
          <w:szCs w:val="24"/>
        </w:rPr>
        <w:t>, Mr Church applie</w:t>
      </w:r>
      <w:r w:rsidR="00BC0D3C">
        <w:rPr>
          <w:szCs w:val="24"/>
        </w:rPr>
        <w:t>d</w:t>
      </w:r>
      <w:r w:rsidR="009C6B61">
        <w:rPr>
          <w:szCs w:val="24"/>
        </w:rPr>
        <w:t xml:space="preserve"> a yield of 5% to the passing rent of £100 per annum</w:t>
      </w:r>
      <w:r w:rsidR="008D3087">
        <w:rPr>
          <w:szCs w:val="24"/>
        </w:rPr>
        <w:t xml:space="preserve"> per acre</w:t>
      </w:r>
      <w:r w:rsidR="009C6B61">
        <w:rPr>
          <w:szCs w:val="24"/>
        </w:rPr>
        <w:t xml:space="preserve"> </w:t>
      </w:r>
      <w:r w:rsidR="007D7061">
        <w:rPr>
          <w:szCs w:val="24"/>
        </w:rPr>
        <w:t xml:space="preserve">culminating in a </w:t>
      </w:r>
      <w:r w:rsidR="00353995">
        <w:rPr>
          <w:szCs w:val="24"/>
        </w:rPr>
        <w:t xml:space="preserve">capital </w:t>
      </w:r>
      <w:r w:rsidR="007D7061">
        <w:rPr>
          <w:szCs w:val="24"/>
        </w:rPr>
        <w:t>value of £2,000 per acre</w:t>
      </w:r>
      <w:r w:rsidR="00E40069">
        <w:rPr>
          <w:szCs w:val="24"/>
        </w:rPr>
        <w:t xml:space="preserve"> and representing a diminution of 80% from the </w:t>
      </w:r>
      <w:r w:rsidR="0033108C">
        <w:rPr>
          <w:szCs w:val="24"/>
        </w:rPr>
        <w:t>value with vacant possession and access.</w:t>
      </w:r>
    </w:p>
    <w:p w14:paraId="7D887B8F" w14:textId="74E1DCD7" w:rsidR="006E3E5F" w:rsidRDefault="000909EF" w:rsidP="00E9767E">
      <w:pPr>
        <w:pStyle w:val="Normal2"/>
        <w:spacing w:after="360"/>
        <w:ind w:left="720" w:hanging="720"/>
        <w:rPr>
          <w:szCs w:val="24"/>
        </w:rPr>
      </w:pPr>
      <w:r>
        <w:rPr>
          <w:szCs w:val="24"/>
        </w:rPr>
        <w:t>9</w:t>
      </w:r>
      <w:r w:rsidR="0096097B">
        <w:rPr>
          <w:szCs w:val="24"/>
        </w:rPr>
        <w:t>2</w:t>
      </w:r>
      <w:r>
        <w:rPr>
          <w:szCs w:val="24"/>
        </w:rPr>
        <w:t>.</w:t>
      </w:r>
      <w:r>
        <w:rPr>
          <w:szCs w:val="24"/>
        </w:rPr>
        <w:tab/>
      </w:r>
      <w:r w:rsidR="00AD1C6F">
        <w:rPr>
          <w:szCs w:val="24"/>
        </w:rPr>
        <w:t xml:space="preserve">Mr Church </w:t>
      </w:r>
      <w:r w:rsidR="005B4A5F">
        <w:rPr>
          <w:szCs w:val="24"/>
        </w:rPr>
        <w:t>went</w:t>
      </w:r>
      <w:r w:rsidR="00AD1C6F">
        <w:rPr>
          <w:szCs w:val="24"/>
        </w:rPr>
        <w:t xml:space="preserve"> on to say that s</w:t>
      </w:r>
      <w:r w:rsidR="0033108C">
        <w:rPr>
          <w:szCs w:val="24"/>
        </w:rPr>
        <w:t xml:space="preserve">ince </w:t>
      </w:r>
      <w:r w:rsidR="00AD1C6F">
        <w:rPr>
          <w:szCs w:val="24"/>
        </w:rPr>
        <w:t xml:space="preserve">Mr Wainwright </w:t>
      </w:r>
      <w:r w:rsidR="005B4A5F">
        <w:rPr>
          <w:szCs w:val="24"/>
        </w:rPr>
        <w:t>w</w:t>
      </w:r>
      <w:r w:rsidR="00AD1C6F">
        <w:rPr>
          <w:szCs w:val="24"/>
        </w:rPr>
        <w:t xml:space="preserve">as </w:t>
      </w:r>
      <w:r w:rsidR="00F02C2F">
        <w:rPr>
          <w:szCs w:val="24"/>
        </w:rPr>
        <w:t xml:space="preserve">a </w:t>
      </w:r>
      <w:r w:rsidR="006915D5">
        <w:rPr>
          <w:szCs w:val="24"/>
        </w:rPr>
        <w:t>s</w:t>
      </w:r>
      <w:r w:rsidR="00AD1C6F">
        <w:rPr>
          <w:szCs w:val="24"/>
        </w:rPr>
        <w:t>p</w:t>
      </w:r>
      <w:r w:rsidR="006915D5">
        <w:rPr>
          <w:szCs w:val="24"/>
        </w:rPr>
        <w:t xml:space="preserve">ecial purchaser </w:t>
      </w:r>
      <w:r w:rsidR="00F02C2F">
        <w:rPr>
          <w:szCs w:val="24"/>
        </w:rPr>
        <w:t xml:space="preserve">and </w:t>
      </w:r>
      <w:r w:rsidR="006915D5">
        <w:rPr>
          <w:szCs w:val="24"/>
        </w:rPr>
        <w:t>the only person who can facilitate access</w:t>
      </w:r>
      <w:r w:rsidR="00F75120">
        <w:rPr>
          <w:szCs w:val="24"/>
        </w:rPr>
        <w:t>,</w:t>
      </w:r>
      <w:r w:rsidR="0098296B">
        <w:rPr>
          <w:szCs w:val="24"/>
        </w:rPr>
        <w:t xml:space="preserve"> he is key to unlocking the marriage value </w:t>
      </w:r>
      <w:r w:rsidR="00F75120">
        <w:rPr>
          <w:szCs w:val="24"/>
        </w:rPr>
        <w:t xml:space="preserve">with the freeholder.   This additional value would be split in equal proportions </w:t>
      </w:r>
      <w:r w:rsidR="00AE5F3D">
        <w:rPr>
          <w:szCs w:val="24"/>
        </w:rPr>
        <w:t>with each party getting 40%</w:t>
      </w:r>
      <w:r w:rsidR="006E3E5F">
        <w:rPr>
          <w:szCs w:val="24"/>
        </w:rPr>
        <w:t>.</w:t>
      </w:r>
      <w:r w:rsidR="0072541F">
        <w:rPr>
          <w:szCs w:val="24"/>
        </w:rPr>
        <w:t xml:space="preserve">  </w:t>
      </w:r>
      <w:r w:rsidR="006E3E5F">
        <w:rPr>
          <w:szCs w:val="24"/>
        </w:rPr>
        <w:t xml:space="preserve">The diminution in value is </w:t>
      </w:r>
      <w:r w:rsidR="009E78DD">
        <w:rPr>
          <w:szCs w:val="24"/>
        </w:rPr>
        <w:t xml:space="preserve">therefore 40% of the value of 7.44 acres </w:t>
      </w:r>
      <w:r w:rsidR="0019605C">
        <w:rPr>
          <w:szCs w:val="24"/>
        </w:rPr>
        <w:t>taken at £10,000 per acre</w:t>
      </w:r>
      <w:r w:rsidR="00666178">
        <w:rPr>
          <w:szCs w:val="24"/>
        </w:rPr>
        <w:t>.   This equates to £29,760.</w:t>
      </w:r>
    </w:p>
    <w:p w14:paraId="02258459" w14:textId="55C0A8AD" w:rsidR="0087177E" w:rsidRDefault="008134BB" w:rsidP="00E9767E">
      <w:pPr>
        <w:pStyle w:val="Normal2"/>
        <w:spacing w:after="360"/>
        <w:ind w:left="720" w:hanging="720"/>
        <w:rPr>
          <w:szCs w:val="24"/>
        </w:rPr>
      </w:pPr>
      <w:r>
        <w:rPr>
          <w:szCs w:val="24"/>
        </w:rPr>
        <w:t>9</w:t>
      </w:r>
      <w:r w:rsidR="0096097B">
        <w:rPr>
          <w:szCs w:val="24"/>
        </w:rPr>
        <w:t>3</w:t>
      </w:r>
      <w:r w:rsidR="000909EF">
        <w:rPr>
          <w:szCs w:val="24"/>
        </w:rPr>
        <w:t>.</w:t>
      </w:r>
      <w:r w:rsidR="000909EF">
        <w:rPr>
          <w:szCs w:val="24"/>
        </w:rPr>
        <w:tab/>
      </w:r>
      <w:r w:rsidR="003F2E43">
        <w:rPr>
          <w:szCs w:val="24"/>
        </w:rPr>
        <w:t xml:space="preserve">I have already </w:t>
      </w:r>
      <w:r w:rsidR="00B35638">
        <w:rPr>
          <w:szCs w:val="24"/>
        </w:rPr>
        <w:t>determined</w:t>
      </w:r>
      <w:r w:rsidR="003F2E43">
        <w:rPr>
          <w:szCs w:val="24"/>
        </w:rPr>
        <w:t xml:space="preserve"> that but for the scheme the grazing land would have had a value of £20,000 per acre.   As a result of the scheme there is </w:t>
      </w:r>
      <w:r w:rsidR="00B35638">
        <w:rPr>
          <w:szCs w:val="24"/>
        </w:rPr>
        <w:t>no prospect of development</w:t>
      </w:r>
      <w:r w:rsidR="002109E9">
        <w:rPr>
          <w:szCs w:val="24"/>
        </w:rPr>
        <w:t xml:space="preserve"> </w:t>
      </w:r>
      <w:r w:rsidR="00D54333">
        <w:rPr>
          <w:szCs w:val="24"/>
        </w:rPr>
        <w:t>on</w:t>
      </w:r>
      <w:r w:rsidR="002109E9">
        <w:rPr>
          <w:szCs w:val="24"/>
        </w:rPr>
        <w:t xml:space="preserve"> the retained land</w:t>
      </w:r>
      <w:r w:rsidR="00FC0600">
        <w:rPr>
          <w:szCs w:val="24"/>
        </w:rPr>
        <w:t xml:space="preserve">, </w:t>
      </w:r>
      <w:r w:rsidR="001C7BE7">
        <w:rPr>
          <w:szCs w:val="24"/>
        </w:rPr>
        <w:t xml:space="preserve">roadside </w:t>
      </w:r>
      <w:r w:rsidR="00FC0600">
        <w:rPr>
          <w:szCs w:val="24"/>
        </w:rPr>
        <w:t>access to the site having been lost</w:t>
      </w:r>
      <w:r w:rsidR="004627D8">
        <w:rPr>
          <w:szCs w:val="24"/>
        </w:rPr>
        <w:t xml:space="preserve">. </w:t>
      </w:r>
      <w:r w:rsidR="001C7BE7">
        <w:rPr>
          <w:szCs w:val="24"/>
        </w:rPr>
        <w:t xml:space="preserve">  </w:t>
      </w:r>
      <w:r w:rsidR="003A0C7F">
        <w:rPr>
          <w:szCs w:val="24"/>
        </w:rPr>
        <w:t xml:space="preserve">In his submissions on </w:t>
      </w:r>
      <w:r w:rsidR="00F4507C">
        <w:rPr>
          <w:szCs w:val="24"/>
        </w:rPr>
        <w:t>the hope value that might be attributed to the site</w:t>
      </w:r>
      <w:r w:rsidR="00B668C1">
        <w:rPr>
          <w:szCs w:val="24"/>
        </w:rPr>
        <w:t xml:space="preserve"> Mr Church rejected the notion that </w:t>
      </w:r>
      <w:r w:rsidR="00A97545">
        <w:rPr>
          <w:szCs w:val="24"/>
        </w:rPr>
        <w:t xml:space="preserve">the claimant’s land, taken as a whole, had any </w:t>
      </w:r>
      <w:r w:rsidR="007660BC">
        <w:rPr>
          <w:szCs w:val="24"/>
        </w:rPr>
        <w:t>development value.  He simply valued it as ‘</w:t>
      </w:r>
      <w:r w:rsidR="005330BE">
        <w:rPr>
          <w:szCs w:val="24"/>
        </w:rPr>
        <w:t>permanent pasture</w:t>
      </w:r>
      <w:r w:rsidR="007660BC">
        <w:rPr>
          <w:szCs w:val="24"/>
        </w:rPr>
        <w:t>’</w:t>
      </w:r>
      <w:r w:rsidR="005868DE">
        <w:rPr>
          <w:szCs w:val="24"/>
        </w:rPr>
        <w:t>,</w:t>
      </w:r>
      <w:r w:rsidR="007660BC">
        <w:rPr>
          <w:szCs w:val="24"/>
        </w:rPr>
        <w:t xml:space="preserve"> with the existing </w:t>
      </w:r>
      <w:r w:rsidR="005868DE">
        <w:rPr>
          <w:szCs w:val="24"/>
        </w:rPr>
        <w:t>occupier</w:t>
      </w:r>
      <w:r w:rsidR="007660BC">
        <w:rPr>
          <w:szCs w:val="24"/>
        </w:rPr>
        <w:t xml:space="preserve"> in place</w:t>
      </w:r>
      <w:r w:rsidR="005868DE">
        <w:rPr>
          <w:szCs w:val="24"/>
        </w:rPr>
        <w:t>,</w:t>
      </w:r>
      <w:r w:rsidR="002F20A5">
        <w:rPr>
          <w:szCs w:val="24"/>
        </w:rPr>
        <w:t xml:space="preserve"> at £10,000 per acre.</w:t>
      </w:r>
      <w:r w:rsidR="00716E7F">
        <w:rPr>
          <w:szCs w:val="24"/>
        </w:rPr>
        <w:t xml:space="preserve">   </w:t>
      </w:r>
      <w:r w:rsidR="00F7741E">
        <w:rPr>
          <w:szCs w:val="24"/>
        </w:rPr>
        <w:t>Mr Church assume</w:t>
      </w:r>
      <w:r w:rsidR="003B6030">
        <w:rPr>
          <w:szCs w:val="24"/>
        </w:rPr>
        <w:t>d</w:t>
      </w:r>
      <w:r w:rsidR="00F7741E">
        <w:rPr>
          <w:szCs w:val="24"/>
        </w:rPr>
        <w:t xml:space="preserve"> that Mr Wainwright would </w:t>
      </w:r>
      <w:r w:rsidR="00760547">
        <w:rPr>
          <w:szCs w:val="24"/>
        </w:rPr>
        <w:t>be</w:t>
      </w:r>
      <w:r w:rsidR="00F7741E">
        <w:rPr>
          <w:szCs w:val="24"/>
        </w:rPr>
        <w:t xml:space="preserve"> prepared </w:t>
      </w:r>
      <w:r w:rsidR="00760547">
        <w:rPr>
          <w:szCs w:val="24"/>
        </w:rPr>
        <w:t xml:space="preserve">to pay the </w:t>
      </w:r>
      <w:r w:rsidR="008233C0">
        <w:rPr>
          <w:szCs w:val="24"/>
        </w:rPr>
        <w:t xml:space="preserve">landlocked value plus </w:t>
      </w:r>
      <w:r w:rsidR="00E67D30">
        <w:rPr>
          <w:szCs w:val="24"/>
        </w:rPr>
        <w:t>half of the marriage value but</w:t>
      </w:r>
      <w:r w:rsidR="005F628D">
        <w:rPr>
          <w:szCs w:val="24"/>
        </w:rPr>
        <w:t xml:space="preserve"> as a special purchaser </w:t>
      </w:r>
      <w:r w:rsidR="00A1515C">
        <w:rPr>
          <w:szCs w:val="24"/>
        </w:rPr>
        <w:t>he holds all of the cards</w:t>
      </w:r>
      <w:r w:rsidR="00CD6969">
        <w:rPr>
          <w:szCs w:val="24"/>
        </w:rPr>
        <w:t xml:space="preserve">.   </w:t>
      </w:r>
      <w:r w:rsidR="008505D7">
        <w:rPr>
          <w:szCs w:val="24"/>
        </w:rPr>
        <w:t xml:space="preserve">In my view </w:t>
      </w:r>
      <w:r w:rsidR="001348D9">
        <w:rPr>
          <w:szCs w:val="24"/>
        </w:rPr>
        <w:t xml:space="preserve">Mr Wainwright would simply need to </w:t>
      </w:r>
      <w:r w:rsidR="008F32F5">
        <w:rPr>
          <w:szCs w:val="24"/>
        </w:rPr>
        <w:t xml:space="preserve">pay a </w:t>
      </w:r>
      <w:r w:rsidR="0078725D">
        <w:rPr>
          <w:szCs w:val="24"/>
        </w:rPr>
        <w:t xml:space="preserve">small </w:t>
      </w:r>
      <w:r w:rsidR="008F32F5">
        <w:rPr>
          <w:szCs w:val="24"/>
        </w:rPr>
        <w:t xml:space="preserve">premium over the value </w:t>
      </w:r>
      <w:r w:rsidR="007E37C5">
        <w:rPr>
          <w:szCs w:val="24"/>
        </w:rPr>
        <w:t xml:space="preserve">of the </w:t>
      </w:r>
      <w:r w:rsidR="00FA59BA">
        <w:rPr>
          <w:szCs w:val="24"/>
        </w:rPr>
        <w:t xml:space="preserve">capitalised </w:t>
      </w:r>
      <w:r w:rsidR="007E37C5">
        <w:rPr>
          <w:szCs w:val="24"/>
        </w:rPr>
        <w:t>income stream</w:t>
      </w:r>
      <w:r w:rsidR="00E2728F">
        <w:rPr>
          <w:szCs w:val="24"/>
        </w:rPr>
        <w:t xml:space="preserve"> to tempt the </w:t>
      </w:r>
      <w:r w:rsidR="0078725D">
        <w:rPr>
          <w:szCs w:val="24"/>
        </w:rPr>
        <w:t xml:space="preserve">owner to part company with </w:t>
      </w:r>
      <w:r w:rsidR="00DC6F45">
        <w:rPr>
          <w:szCs w:val="24"/>
        </w:rPr>
        <w:t xml:space="preserve">land which </w:t>
      </w:r>
      <w:r w:rsidR="00282B68">
        <w:rPr>
          <w:szCs w:val="24"/>
        </w:rPr>
        <w:t xml:space="preserve">presumably </w:t>
      </w:r>
      <w:r w:rsidR="00DC6F45">
        <w:rPr>
          <w:szCs w:val="24"/>
        </w:rPr>
        <w:t>no longer serves a</w:t>
      </w:r>
      <w:r w:rsidR="00E1411C">
        <w:rPr>
          <w:szCs w:val="24"/>
        </w:rPr>
        <w:t>ny</w:t>
      </w:r>
      <w:r w:rsidR="00DC6F45">
        <w:rPr>
          <w:szCs w:val="24"/>
        </w:rPr>
        <w:t xml:space="preserve"> purpose</w:t>
      </w:r>
      <w:r w:rsidR="00287EED">
        <w:rPr>
          <w:szCs w:val="24"/>
        </w:rPr>
        <w:t xml:space="preserve"> for him</w:t>
      </w:r>
      <w:r w:rsidR="003C0AE3">
        <w:rPr>
          <w:szCs w:val="24"/>
        </w:rPr>
        <w:t xml:space="preserve"> other than producing a meagre annual income</w:t>
      </w:r>
      <w:r w:rsidR="00287EED">
        <w:rPr>
          <w:szCs w:val="24"/>
        </w:rPr>
        <w:t>.</w:t>
      </w:r>
      <w:r w:rsidR="00AC42EB">
        <w:rPr>
          <w:szCs w:val="24"/>
        </w:rPr>
        <w:t xml:space="preserve">  </w:t>
      </w:r>
      <w:r w:rsidR="005103EB">
        <w:rPr>
          <w:szCs w:val="24"/>
        </w:rPr>
        <w:t>The adoption of £10,000 per acre is no longer appropriate</w:t>
      </w:r>
      <w:r w:rsidR="003D682A">
        <w:rPr>
          <w:szCs w:val="24"/>
        </w:rPr>
        <w:t xml:space="preserve"> given the problems of access.</w:t>
      </w:r>
      <w:r w:rsidR="00736BB5">
        <w:rPr>
          <w:szCs w:val="24"/>
        </w:rPr>
        <w:t xml:space="preserve">   I am mindful that use of the land </w:t>
      </w:r>
      <w:r w:rsidR="00D847F1">
        <w:rPr>
          <w:szCs w:val="24"/>
        </w:rPr>
        <w:t xml:space="preserve">by Mr Wainwright is subject to his ability </w:t>
      </w:r>
      <w:r w:rsidR="0071302A">
        <w:rPr>
          <w:szCs w:val="24"/>
        </w:rPr>
        <w:t xml:space="preserve">to cross Norbury Brook either with his </w:t>
      </w:r>
      <w:r w:rsidR="00066E1F">
        <w:rPr>
          <w:szCs w:val="24"/>
        </w:rPr>
        <w:t>livestock or farm vehicles.</w:t>
      </w:r>
    </w:p>
    <w:p w14:paraId="3CD71636" w14:textId="2165EDB1" w:rsidR="00235ECB" w:rsidRDefault="008134BB" w:rsidP="00E9767E">
      <w:pPr>
        <w:pStyle w:val="Normal2"/>
        <w:spacing w:after="360"/>
        <w:ind w:left="720" w:hanging="720"/>
        <w:rPr>
          <w:szCs w:val="24"/>
        </w:rPr>
      </w:pPr>
      <w:r>
        <w:rPr>
          <w:szCs w:val="24"/>
        </w:rPr>
        <w:t>9</w:t>
      </w:r>
      <w:r w:rsidR="0096097B">
        <w:rPr>
          <w:szCs w:val="24"/>
        </w:rPr>
        <w:t>4</w:t>
      </w:r>
      <w:r w:rsidR="000909EF">
        <w:rPr>
          <w:szCs w:val="24"/>
        </w:rPr>
        <w:t>.</w:t>
      </w:r>
      <w:r w:rsidR="000909EF">
        <w:rPr>
          <w:szCs w:val="24"/>
        </w:rPr>
        <w:tab/>
      </w:r>
      <w:r w:rsidR="00AC42EB">
        <w:rPr>
          <w:szCs w:val="24"/>
        </w:rPr>
        <w:t>I agree with Mr Church’s asse</w:t>
      </w:r>
      <w:r w:rsidR="00C71822">
        <w:rPr>
          <w:szCs w:val="24"/>
        </w:rPr>
        <w:t xml:space="preserve">ssment of value of the land </w:t>
      </w:r>
      <w:r w:rsidR="007E37C5">
        <w:rPr>
          <w:szCs w:val="24"/>
        </w:rPr>
        <w:t>on the basis of income from</w:t>
      </w:r>
      <w:r w:rsidR="00C71822">
        <w:rPr>
          <w:szCs w:val="24"/>
        </w:rPr>
        <w:t xml:space="preserve"> the </w:t>
      </w:r>
      <w:r w:rsidR="007E6A5F">
        <w:rPr>
          <w:szCs w:val="24"/>
        </w:rPr>
        <w:t>licence</w:t>
      </w:r>
      <w:r w:rsidR="00C71822">
        <w:rPr>
          <w:szCs w:val="24"/>
        </w:rPr>
        <w:t xml:space="preserve"> </w:t>
      </w:r>
      <w:r w:rsidR="0076528C">
        <w:rPr>
          <w:szCs w:val="24"/>
        </w:rPr>
        <w:t>at</w:t>
      </w:r>
      <w:r w:rsidR="00C71822">
        <w:rPr>
          <w:szCs w:val="24"/>
        </w:rPr>
        <w:t xml:space="preserve"> £2,000</w:t>
      </w:r>
      <w:r w:rsidR="0045262D">
        <w:rPr>
          <w:szCs w:val="24"/>
        </w:rPr>
        <w:t xml:space="preserve"> per acre.</w:t>
      </w:r>
      <w:r w:rsidR="0087177E">
        <w:rPr>
          <w:szCs w:val="24"/>
        </w:rPr>
        <w:t xml:space="preserve">   </w:t>
      </w:r>
      <w:r w:rsidR="00ED7896">
        <w:rPr>
          <w:szCs w:val="24"/>
        </w:rPr>
        <w:t>I assess th</w:t>
      </w:r>
      <w:r w:rsidR="0045262D">
        <w:rPr>
          <w:szCs w:val="24"/>
        </w:rPr>
        <w:t>e</w:t>
      </w:r>
      <w:r w:rsidR="00ED7896">
        <w:rPr>
          <w:szCs w:val="24"/>
        </w:rPr>
        <w:t xml:space="preserve"> premium </w:t>
      </w:r>
      <w:r w:rsidR="0076528C">
        <w:rPr>
          <w:szCs w:val="24"/>
        </w:rPr>
        <w:t>payable by Mr Wainw</w:t>
      </w:r>
      <w:r w:rsidR="000C72D1">
        <w:rPr>
          <w:szCs w:val="24"/>
        </w:rPr>
        <w:t xml:space="preserve">right </w:t>
      </w:r>
      <w:r w:rsidR="00ED7896">
        <w:rPr>
          <w:szCs w:val="24"/>
        </w:rPr>
        <w:t xml:space="preserve">at </w:t>
      </w:r>
      <w:r w:rsidR="00AC42EB">
        <w:rPr>
          <w:szCs w:val="24"/>
        </w:rPr>
        <w:t xml:space="preserve">£1,000 per </w:t>
      </w:r>
      <w:r w:rsidR="00AC42EB">
        <w:rPr>
          <w:szCs w:val="24"/>
        </w:rPr>
        <w:lastRenderedPageBreak/>
        <w:t>acre</w:t>
      </w:r>
      <w:r w:rsidR="0045262D">
        <w:rPr>
          <w:szCs w:val="24"/>
        </w:rPr>
        <w:t xml:space="preserve"> which means that the value of the grazing land after the acquisition is £</w:t>
      </w:r>
      <w:r w:rsidR="00BE4262">
        <w:rPr>
          <w:szCs w:val="24"/>
        </w:rPr>
        <w:t xml:space="preserve">3,000 per acre and </w:t>
      </w:r>
      <w:r w:rsidR="00AB7FBF">
        <w:rPr>
          <w:szCs w:val="24"/>
        </w:rPr>
        <w:t>£22,320 in total.</w:t>
      </w:r>
      <w:r w:rsidR="00AC42EB">
        <w:rPr>
          <w:szCs w:val="24"/>
        </w:rPr>
        <w:t xml:space="preserve">  </w:t>
      </w:r>
      <w:r w:rsidR="0087177E">
        <w:rPr>
          <w:szCs w:val="24"/>
        </w:rPr>
        <w:t xml:space="preserve">The </w:t>
      </w:r>
      <w:r w:rsidR="00F23389">
        <w:rPr>
          <w:szCs w:val="24"/>
        </w:rPr>
        <w:t>dimin</w:t>
      </w:r>
      <w:r w:rsidR="00ED4FEC">
        <w:rPr>
          <w:szCs w:val="24"/>
        </w:rPr>
        <w:t>ution in value is therefore</w:t>
      </w:r>
      <w:r w:rsidR="0056626E">
        <w:rPr>
          <w:szCs w:val="24"/>
        </w:rPr>
        <w:t xml:space="preserve"> 7.44 acres at </w:t>
      </w:r>
      <w:r w:rsidR="006140CE">
        <w:rPr>
          <w:szCs w:val="24"/>
        </w:rPr>
        <w:t>£</w:t>
      </w:r>
      <w:r w:rsidR="007E6856">
        <w:rPr>
          <w:szCs w:val="24"/>
        </w:rPr>
        <w:t>20,000 per acre less £22,320.   By my calculation that is £</w:t>
      </w:r>
      <w:r w:rsidR="006C4984">
        <w:rPr>
          <w:szCs w:val="24"/>
        </w:rPr>
        <w:t>126,480 which I round to £126,500.</w:t>
      </w:r>
    </w:p>
    <w:p w14:paraId="2E8613CC" w14:textId="11CB219F" w:rsidR="00B2660A" w:rsidRPr="004567C8" w:rsidRDefault="00B2660A" w:rsidP="00E9767E">
      <w:pPr>
        <w:pStyle w:val="Normal2"/>
        <w:spacing w:after="360"/>
        <w:rPr>
          <w:i/>
          <w:iCs/>
          <w:szCs w:val="24"/>
        </w:rPr>
      </w:pPr>
      <w:r w:rsidRPr="004567C8">
        <w:rPr>
          <w:i/>
          <w:iCs/>
          <w:szCs w:val="24"/>
        </w:rPr>
        <w:t>The Car Park Land</w:t>
      </w:r>
    </w:p>
    <w:p w14:paraId="108EFE3D" w14:textId="4CB0C6E0" w:rsidR="005C0DA6" w:rsidRPr="005C0DA6" w:rsidRDefault="008134BB" w:rsidP="005C0DA6">
      <w:pPr>
        <w:pStyle w:val="Normal2"/>
        <w:spacing w:after="360"/>
        <w:ind w:left="720" w:hanging="720"/>
        <w:rPr>
          <w:szCs w:val="24"/>
        </w:rPr>
      </w:pPr>
      <w:r>
        <w:rPr>
          <w:szCs w:val="24"/>
        </w:rPr>
        <w:t>9</w:t>
      </w:r>
      <w:r w:rsidR="0096097B">
        <w:rPr>
          <w:szCs w:val="24"/>
        </w:rPr>
        <w:t>5</w:t>
      </w:r>
      <w:r w:rsidR="00BE4D41">
        <w:rPr>
          <w:szCs w:val="24"/>
        </w:rPr>
        <w:t>.</w:t>
      </w:r>
      <w:r w:rsidR="00BE4D41">
        <w:rPr>
          <w:szCs w:val="24"/>
        </w:rPr>
        <w:tab/>
      </w:r>
      <w:r w:rsidR="005C0DA6" w:rsidRPr="005C0DA6">
        <w:rPr>
          <w:szCs w:val="24"/>
        </w:rPr>
        <w:t xml:space="preserve">I heard evidence in support of a figure of £116,774 on the part of the </w:t>
      </w:r>
      <w:r w:rsidR="004C7839">
        <w:rPr>
          <w:szCs w:val="24"/>
        </w:rPr>
        <w:t>C</w:t>
      </w:r>
      <w:r w:rsidR="005C0DA6" w:rsidRPr="005C0DA6">
        <w:rPr>
          <w:szCs w:val="24"/>
        </w:rPr>
        <w:t>laimant and £20,000 for the Acquiring Authority.    After the hearing, I directed that the parties consider whether an apportionment of the passing rent on the car park would be appropriate under section 19 of the Compulsory Purchase Act 1965.    The parties subsequently advised that they had agreed the injurious affection at £75,000 and this being the case I need make no further comment.</w:t>
      </w:r>
    </w:p>
    <w:p w14:paraId="21312BD2" w14:textId="53A3104E" w:rsidR="006A7529" w:rsidRPr="004567C8" w:rsidRDefault="006A7529" w:rsidP="00E9767E">
      <w:pPr>
        <w:pStyle w:val="Normal2"/>
        <w:spacing w:after="360"/>
        <w:rPr>
          <w:b/>
          <w:bCs/>
          <w:szCs w:val="24"/>
        </w:rPr>
      </w:pPr>
      <w:r w:rsidRPr="004567C8">
        <w:rPr>
          <w:b/>
          <w:bCs/>
          <w:szCs w:val="24"/>
        </w:rPr>
        <w:t>The Telecommunications Mast</w:t>
      </w:r>
    </w:p>
    <w:p w14:paraId="499A1202" w14:textId="06A72071" w:rsidR="00F158FE" w:rsidRDefault="00226C33" w:rsidP="00E9767E">
      <w:pPr>
        <w:pStyle w:val="Normal2"/>
        <w:spacing w:after="360"/>
        <w:ind w:left="720" w:hanging="720"/>
        <w:rPr>
          <w:szCs w:val="24"/>
        </w:rPr>
      </w:pPr>
      <w:r>
        <w:rPr>
          <w:szCs w:val="24"/>
        </w:rPr>
        <w:t>9</w:t>
      </w:r>
      <w:r w:rsidR="000F5984">
        <w:rPr>
          <w:szCs w:val="24"/>
        </w:rPr>
        <w:t>6</w:t>
      </w:r>
      <w:r w:rsidR="00915E1B">
        <w:rPr>
          <w:szCs w:val="24"/>
        </w:rPr>
        <w:t>.</w:t>
      </w:r>
      <w:r w:rsidR="00915E1B">
        <w:rPr>
          <w:szCs w:val="24"/>
        </w:rPr>
        <w:tab/>
      </w:r>
      <w:r w:rsidR="00F158FE" w:rsidRPr="002F4F45">
        <w:rPr>
          <w:szCs w:val="24"/>
        </w:rPr>
        <w:t xml:space="preserve">The parties have agreed the </w:t>
      </w:r>
      <w:r w:rsidR="00E024D2" w:rsidRPr="002F4F45">
        <w:rPr>
          <w:szCs w:val="24"/>
        </w:rPr>
        <w:t>injurious affection in relation to the mast at £19</w:t>
      </w:r>
      <w:r w:rsidR="002F4F45" w:rsidRPr="002F4F45">
        <w:rPr>
          <w:szCs w:val="24"/>
        </w:rPr>
        <w:t>,871.  This being the case I need not dwell on it any further.</w:t>
      </w:r>
    </w:p>
    <w:p w14:paraId="1EEE9923" w14:textId="1A475BF3" w:rsidR="002305BC" w:rsidRDefault="00466E38" w:rsidP="00E9767E">
      <w:pPr>
        <w:pStyle w:val="Normal2"/>
        <w:spacing w:after="360"/>
        <w:ind w:left="720" w:hanging="720"/>
        <w:rPr>
          <w:b/>
          <w:bCs/>
          <w:szCs w:val="24"/>
        </w:rPr>
      </w:pPr>
      <w:r w:rsidRPr="00466E38">
        <w:rPr>
          <w:b/>
          <w:bCs/>
          <w:szCs w:val="24"/>
        </w:rPr>
        <w:t>The Easements</w:t>
      </w:r>
    </w:p>
    <w:p w14:paraId="79FD7907" w14:textId="588C5269" w:rsidR="00BD2465" w:rsidRPr="00994832" w:rsidRDefault="008E0980" w:rsidP="00E9767E">
      <w:pPr>
        <w:pStyle w:val="Normal2"/>
        <w:spacing w:after="360"/>
        <w:ind w:left="720" w:hanging="720"/>
        <w:rPr>
          <w:szCs w:val="24"/>
        </w:rPr>
      </w:pPr>
      <w:r>
        <w:rPr>
          <w:szCs w:val="24"/>
        </w:rPr>
        <w:t>9</w:t>
      </w:r>
      <w:r w:rsidR="000F5984">
        <w:rPr>
          <w:szCs w:val="24"/>
        </w:rPr>
        <w:t>7</w:t>
      </w:r>
      <w:r w:rsidR="00994832" w:rsidRPr="00994832">
        <w:rPr>
          <w:szCs w:val="24"/>
        </w:rPr>
        <w:t>.</w:t>
      </w:r>
      <w:r w:rsidR="00466E38">
        <w:rPr>
          <w:b/>
          <w:bCs/>
          <w:szCs w:val="24"/>
        </w:rPr>
        <w:tab/>
      </w:r>
      <w:r w:rsidR="00304F45" w:rsidRPr="00994832">
        <w:rPr>
          <w:szCs w:val="24"/>
        </w:rPr>
        <w:t xml:space="preserve">Neither party adduces any evidence </w:t>
      </w:r>
      <w:r w:rsidR="00B41474" w:rsidRPr="00994832">
        <w:rPr>
          <w:szCs w:val="24"/>
        </w:rPr>
        <w:t>in connection</w:t>
      </w:r>
      <w:r w:rsidR="00994832">
        <w:rPr>
          <w:szCs w:val="24"/>
        </w:rPr>
        <w:t xml:space="preserve"> with the </w:t>
      </w:r>
      <w:r w:rsidR="002D6900">
        <w:rPr>
          <w:szCs w:val="24"/>
        </w:rPr>
        <w:t xml:space="preserve">injurious affection due to the drainage easements.  Mr Coulson </w:t>
      </w:r>
      <w:r w:rsidR="00E419B9">
        <w:rPr>
          <w:szCs w:val="24"/>
        </w:rPr>
        <w:t xml:space="preserve">puts forward a figure of £980 and Mr Church </w:t>
      </w:r>
      <w:r w:rsidR="002E69D5">
        <w:rPr>
          <w:szCs w:val="24"/>
        </w:rPr>
        <w:t>says that</w:t>
      </w:r>
      <w:r w:rsidR="00871A95">
        <w:rPr>
          <w:szCs w:val="24"/>
        </w:rPr>
        <w:t xml:space="preserve"> his approach is adopt a nominal 25% </w:t>
      </w:r>
      <w:r w:rsidR="00BD2465">
        <w:rPr>
          <w:szCs w:val="24"/>
        </w:rPr>
        <w:t>in value across the two strips and this equates to £655.  In the circumstances I determine a figure of £</w:t>
      </w:r>
      <w:r w:rsidR="00E3762D">
        <w:rPr>
          <w:szCs w:val="24"/>
        </w:rPr>
        <w:t>825.</w:t>
      </w:r>
    </w:p>
    <w:p w14:paraId="4FE17E35" w14:textId="25F7343E" w:rsidR="006A7529" w:rsidRDefault="006A7529" w:rsidP="00E9767E">
      <w:pPr>
        <w:pStyle w:val="Normal2"/>
        <w:spacing w:after="360"/>
        <w:rPr>
          <w:b/>
          <w:bCs/>
          <w:szCs w:val="24"/>
        </w:rPr>
      </w:pPr>
      <w:r w:rsidRPr="004567C8">
        <w:rPr>
          <w:b/>
          <w:bCs/>
          <w:szCs w:val="24"/>
        </w:rPr>
        <w:t>Disturbance</w:t>
      </w:r>
    </w:p>
    <w:p w14:paraId="7FDCF203" w14:textId="23F79959" w:rsidR="00E06527" w:rsidRDefault="000F5984" w:rsidP="00E9767E">
      <w:pPr>
        <w:pStyle w:val="Normal2"/>
        <w:spacing w:after="360"/>
        <w:ind w:left="720" w:hanging="720"/>
        <w:rPr>
          <w:szCs w:val="24"/>
        </w:rPr>
      </w:pPr>
      <w:r>
        <w:rPr>
          <w:szCs w:val="24"/>
        </w:rPr>
        <w:t>9</w:t>
      </w:r>
      <w:r w:rsidR="0051053D">
        <w:rPr>
          <w:szCs w:val="24"/>
        </w:rPr>
        <w:t>8</w:t>
      </w:r>
      <w:r w:rsidR="00915E1B">
        <w:rPr>
          <w:szCs w:val="24"/>
        </w:rPr>
        <w:t>.</w:t>
      </w:r>
      <w:r w:rsidR="00915E1B">
        <w:rPr>
          <w:szCs w:val="24"/>
        </w:rPr>
        <w:tab/>
      </w:r>
      <w:r w:rsidR="008563F0">
        <w:rPr>
          <w:szCs w:val="24"/>
        </w:rPr>
        <w:t xml:space="preserve">Section </w:t>
      </w:r>
      <w:r w:rsidR="00A43059">
        <w:rPr>
          <w:szCs w:val="24"/>
        </w:rPr>
        <w:t>5, Rule (6)</w:t>
      </w:r>
      <w:r w:rsidR="008563F0">
        <w:rPr>
          <w:szCs w:val="24"/>
        </w:rPr>
        <w:t xml:space="preserve"> of the </w:t>
      </w:r>
      <w:r w:rsidR="0063714E">
        <w:rPr>
          <w:szCs w:val="24"/>
        </w:rPr>
        <w:t>Land Compensation Act 1961</w:t>
      </w:r>
      <w:r w:rsidR="00A700AE">
        <w:rPr>
          <w:szCs w:val="24"/>
        </w:rPr>
        <w:t xml:space="preserve"> entitles claimants </w:t>
      </w:r>
      <w:r w:rsidR="00D64F75">
        <w:rPr>
          <w:szCs w:val="24"/>
        </w:rPr>
        <w:t xml:space="preserve">to claim for disturbance and </w:t>
      </w:r>
      <w:r w:rsidR="00D173F9">
        <w:rPr>
          <w:szCs w:val="24"/>
        </w:rPr>
        <w:t xml:space="preserve">losses </w:t>
      </w:r>
      <w:r w:rsidR="006C1F3A">
        <w:rPr>
          <w:szCs w:val="24"/>
        </w:rPr>
        <w:t>incurred as a result of the compulsory acquisition.</w:t>
      </w:r>
      <w:r w:rsidR="00620F2A">
        <w:rPr>
          <w:szCs w:val="24"/>
        </w:rPr>
        <w:t xml:space="preserve"> </w:t>
      </w:r>
      <w:r w:rsidR="0070355A">
        <w:rPr>
          <w:szCs w:val="24"/>
        </w:rPr>
        <w:t xml:space="preserve"> </w:t>
      </w:r>
      <w:r w:rsidR="00282366">
        <w:rPr>
          <w:szCs w:val="24"/>
        </w:rPr>
        <w:t>The</w:t>
      </w:r>
      <w:r w:rsidR="00F16E47">
        <w:rPr>
          <w:szCs w:val="24"/>
        </w:rPr>
        <w:t xml:space="preserve"> principle of equivalence</w:t>
      </w:r>
      <w:r w:rsidR="00282366">
        <w:rPr>
          <w:szCs w:val="24"/>
        </w:rPr>
        <w:t xml:space="preserve"> underl</w:t>
      </w:r>
      <w:r w:rsidR="00F16E47">
        <w:rPr>
          <w:szCs w:val="24"/>
        </w:rPr>
        <w:t xml:space="preserve">ies </w:t>
      </w:r>
      <w:r w:rsidR="00BE2ECD">
        <w:rPr>
          <w:szCs w:val="24"/>
        </w:rPr>
        <w:t xml:space="preserve">the assessment </w:t>
      </w:r>
      <w:r w:rsidR="001E449E">
        <w:rPr>
          <w:szCs w:val="24"/>
        </w:rPr>
        <w:t xml:space="preserve">of compensation in this </w:t>
      </w:r>
      <w:r w:rsidR="001A44BD">
        <w:rPr>
          <w:szCs w:val="24"/>
        </w:rPr>
        <w:t xml:space="preserve">context, and in simple terms </w:t>
      </w:r>
      <w:r w:rsidR="003D6A08">
        <w:rPr>
          <w:szCs w:val="24"/>
        </w:rPr>
        <w:t>it means that the owner should be put</w:t>
      </w:r>
      <w:r w:rsidR="00340286">
        <w:rPr>
          <w:szCs w:val="24"/>
        </w:rPr>
        <w:t xml:space="preserve">, as far as money can do so, in the same position </w:t>
      </w:r>
      <w:r w:rsidR="00206E5E">
        <w:rPr>
          <w:szCs w:val="24"/>
        </w:rPr>
        <w:t>as if his land had not been taken.</w:t>
      </w:r>
    </w:p>
    <w:p w14:paraId="6E98C308" w14:textId="0844DE5A" w:rsidR="00A008ED" w:rsidRDefault="0051053D" w:rsidP="0056168D">
      <w:pPr>
        <w:pStyle w:val="Normal2"/>
        <w:rPr>
          <w:szCs w:val="24"/>
        </w:rPr>
      </w:pPr>
      <w:r>
        <w:rPr>
          <w:szCs w:val="24"/>
        </w:rPr>
        <w:t>99</w:t>
      </w:r>
      <w:r w:rsidR="00915E1B">
        <w:rPr>
          <w:szCs w:val="24"/>
        </w:rPr>
        <w:t>.</w:t>
      </w:r>
      <w:r w:rsidR="00915E1B">
        <w:rPr>
          <w:szCs w:val="24"/>
        </w:rPr>
        <w:tab/>
      </w:r>
      <w:r w:rsidR="00A008ED">
        <w:rPr>
          <w:szCs w:val="24"/>
        </w:rPr>
        <w:t xml:space="preserve">Mr Coulson provided details of </w:t>
      </w:r>
      <w:r w:rsidR="003E0456">
        <w:rPr>
          <w:szCs w:val="24"/>
        </w:rPr>
        <w:t xml:space="preserve">costs connected </w:t>
      </w:r>
      <w:r w:rsidR="00AB4091">
        <w:rPr>
          <w:szCs w:val="24"/>
        </w:rPr>
        <w:t>with the claim</w:t>
      </w:r>
      <w:r w:rsidR="005E782A">
        <w:rPr>
          <w:szCs w:val="24"/>
        </w:rPr>
        <w:t xml:space="preserve"> as follows:</w:t>
      </w:r>
    </w:p>
    <w:p w14:paraId="1748F4FC" w14:textId="64EB2F1A" w:rsidR="005E782A" w:rsidRDefault="005E782A" w:rsidP="0056168D">
      <w:pPr>
        <w:pStyle w:val="Normal2"/>
        <w:rPr>
          <w:szCs w:val="24"/>
        </w:rPr>
      </w:pPr>
    </w:p>
    <w:p w14:paraId="2D7AE432" w14:textId="2002112F" w:rsidR="005E782A" w:rsidRDefault="00687595" w:rsidP="00687595">
      <w:pPr>
        <w:pStyle w:val="Normal2"/>
        <w:numPr>
          <w:ilvl w:val="0"/>
          <w:numId w:val="13"/>
        </w:numPr>
        <w:rPr>
          <w:szCs w:val="24"/>
        </w:rPr>
      </w:pPr>
      <w:r>
        <w:rPr>
          <w:szCs w:val="24"/>
        </w:rPr>
        <w:t xml:space="preserve">A report from How Planning </w:t>
      </w:r>
      <w:r w:rsidR="00DB2074">
        <w:rPr>
          <w:szCs w:val="24"/>
        </w:rPr>
        <w:t xml:space="preserve">- </w:t>
      </w:r>
      <w:r w:rsidR="00FC44CA">
        <w:rPr>
          <w:szCs w:val="24"/>
        </w:rPr>
        <w:t>£2,844.12</w:t>
      </w:r>
    </w:p>
    <w:p w14:paraId="7F8005B7" w14:textId="3AAF0964" w:rsidR="00FC44CA" w:rsidRDefault="00354FA1" w:rsidP="00687595">
      <w:pPr>
        <w:pStyle w:val="Normal2"/>
        <w:numPr>
          <w:ilvl w:val="0"/>
          <w:numId w:val="13"/>
        </w:numPr>
        <w:rPr>
          <w:szCs w:val="24"/>
        </w:rPr>
      </w:pPr>
      <w:r>
        <w:rPr>
          <w:szCs w:val="24"/>
        </w:rPr>
        <w:t xml:space="preserve">Advice </w:t>
      </w:r>
      <w:r w:rsidR="00F107EB">
        <w:rPr>
          <w:szCs w:val="24"/>
        </w:rPr>
        <w:t xml:space="preserve">from TADW Architects in connection with a draft housing scheme </w:t>
      </w:r>
      <w:r w:rsidR="00103D56">
        <w:rPr>
          <w:szCs w:val="24"/>
        </w:rPr>
        <w:t xml:space="preserve">and preparation of plans </w:t>
      </w:r>
      <w:r w:rsidR="00F107EB">
        <w:rPr>
          <w:szCs w:val="24"/>
        </w:rPr>
        <w:t xml:space="preserve">– three invoices totalling </w:t>
      </w:r>
      <w:r w:rsidR="00992F62">
        <w:rPr>
          <w:szCs w:val="24"/>
        </w:rPr>
        <w:t>£3,947.26</w:t>
      </w:r>
    </w:p>
    <w:p w14:paraId="3EC67DF2" w14:textId="27818CE7" w:rsidR="00552095" w:rsidRDefault="00297CDF" w:rsidP="00687595">
      <w:pPr>
        <w:pStyle w:val="Normal2"/>
        <w:numPr>
          <w:ilvl w:val="0"/>
          <w:numId w:val="13"/>
        </w:numPr>
        <w:rPr>
          <w:szCs w:val="24"/>
        </w:rPr>
      </w:pPr>
      <w:r>
        <w:rPr>
          <w:szCs w:val="24"/>
        </w:rPr>
        <w:t xml:space="preserve">Advice </w:t>
      </w:r>
      <w:r w:rsidR="006E7A59">
        <w:rPr>
          <w:szCs w:val="24"/>
        </w:rPr>
        <w:t xml:space="preserve">from Mosaic Town Planning </w:t>
      </w:r>
      <w:r>
        <w:rPr>
          <w:szCs w:val="24"/>
        </w:rPr>
        <w:t xml:space="preserve">in relation to </w:t>
      </w:r>
      <w:r w:rsidR="00DF2BD1">
        <w:rPr>
          <w:szCs w:val="24"/>
        </w:rPr>
        <w:t xml:space="preserve">preparation for the hearing – six invoices totalling </w:t>
      </w:r>
      <w:r w:rsidR="00771857">
        <w:rPr>
          <w:szCs w:val="24"/>
        </w:rPr>
        <w:t>£9,855.64</w:t>
      </w:r>
    </w:p>
    <w:p w14:paraId="7149BFF6" w14:textId="0CCB79AF" w:rsidR="00771857" w:rsidRPr="004260D7" w:rsidRDefault="00F32CA7" w:rsidP="00687595">
      <w:pPr>
        <w:pStyle w:val="Normal2"/>
        <w:numPr>
          <w:ilvl w:val="0"/>
          <w:numId w:val="13"/>
        </w:numPr>
        <w:rPr>
          <w:szCs w:val="24"/>
        </w:rPr>
      </w:pPr>
      <w:r w:rsidRPr="004260D7">
        <w:rPr>
          <w:szCs w:val="24"/>
        </w:rPr>
        <w:t>SAS Daniels LLP – cost of processing right of way agreement</w:t>
      </w:r>
      <w:r w:rsidR="004260D7" w:rsidRPr="004260D7">
        <w:rPr>
          <w:szCs w:val="24"/>
        </w:rPr>
        <w:t xml:space="preserve"> - £1,843.20</w:t>
      </w:r>
    </w:p>
    <w:p w14:paraId="00C1F447" w14:textId="4BE93C38" w:rsidR="005056FF" w:rsidRDefault="005056FF" w:rsidP="00687595">
      <w:pPr>
        <w:pStyle w:val="Normal2"/>
        <w:numPr>
          <w:ilvl w:val="0"/>
          <w:numId w:val="13"/>
        </w:numPr>
        <w:rPr>
          <w:szCs w:val="24"/>
        </w:rPr>
      </w:pPr>
      <w:r>
        <w:rPr>
          <w:szCs w:val="24"/>
        </w:rPr>
        <w:t>Ayres Water Solicitors - £30</w:t>
      </w:r>
      <w:r w:rsidR="006467A4">
        <w:rPr>
          <w:szCs w:val="24"/>
        </w:rPr>
        <w:t>.00</w:t>
      </w:r>
    </w:p>
    <w:p w14:paraId="45442B07" w14:textId="52C8F32A" w:rsidR="005056FF" w:rsidRDefault="00646D75" w:rsidP="00687595">
      <w:pPr>
        <w:pStyle w:val="Normal2"/>
        <w:numPr>
          <w:ilvl w:val="0"/>
          <w:numId w:val="13"/>
        </w:numPr>
        <w:rPr>
          <w:szCs w:val="24"/>
        </w:rPr>
      </w:pPr>
      <w:r>
        <w:rPr>
          <w:szCs w:val="24"/>
        </w:rPr>
        <w:t>HM Courts and Tribunal Service - £275</w:t>
      </w:r>
      <w:r w:rsidR="006467A4">
        <w:rPr>
          <w:szCs w:val="24"/>
        </w:rPr>
        <w:t>.00</w:t>
      </w:r>
    </w:p>
    <w:p w14:paraId="31C30083" w14:textId="6F5D9C03" w:rsidR="00646D75" w:rsidRDefault="00646D75" w:rsidP="00143AC8">
      <w:pPr>
        <w:pStyle w:val="Normal2"/>
        <w:numPr>
          <w:ilvl w:val="0"/>
          <w:numId w:val="13"/>
        </w:numPr>
        <w:spacing w:after="360"/>
        <w:ind w:left="1077" w:hanging="357"/>
        <w:rPr>
          <w:szCs w:val="24"/>
        </w:rPr>
      </w:pPr>
      <w:r>
        <w:rPr>
          <w:szCs w:val="24"/>
        </w:rPr>
        <w:lastRenderedPageBreak/>
        <w:t>Sh</w:t>
      </w:r>
      <w:r w:rsidR="00E644F8">
        <w:rPr>
          <w:szCs w:val="24"/>
        </w:rPr>
        <w:t xml:space="preserve">oosmiths LLP </w:t>
      </w:r>
      <w:r w:rsidR="00AB4091">
        <w:rPr>
          <w:szCs w:val="24"/>
        </w:rPr>
        <w:t>– first interim fee</w:t>
      </w:r>
      <w:r w:rsidR="008B6E8F">
        <w:rPr>
          <w:szCs w:val="24"/>
        </w:rPr>
        <w:t xml:space="preserve"> - </w:t>
      </w:r>
      <w:r w:rsidR="00EC3F9D">
        <w:rPr>
          <w:szCs w:val="24"/>
        </w:rPr>
        <w:t>£3,300</w:t>
      </w:r>
      <w:r w:rsidR="00AB4091">
        <w:rPr>
          <w:szCs w:val="24"/>
        </w:rPr>
        <w:t>.</w:t>
      </w:r>
      <w:r w:rsidR="006467A4">
        <w:rPr>
          <w:szCs w:val="24"/>
        </w:rPr>
        <w:t>00</w:t>
      </w:r>
    </w:p>
    <w:p w14:paraId="72209053" w14:textId="39A87C91" w:rsidR="000D67C7" w:rsidRDefault="00EC176B" w:rsidP="00143AC8">
      <w:pPr>
        <w:pStyle w:val="Normal2"/>
        <w:spacing w:after="360"/>
        <w:ind w:left="720" w:hanging="720"/>
        <w:rPr>
          <w:szCs w:val="24"/>
        </w:rPr>
      </w:pPr>
      <w:r>
        <w:rPr>
          <w:szCs w:val="24"/>
        </w:rPr>
        <w:t>10</w:t>
      </w:r>
      <w:r w:rsidR="0051053D">
        <w:rPr>
          <w:szCs w:val="24"/>
        </w:rPr>
        <w:t>0</w:t>
      </w:r>
      <w:r>
        <w:rPr>
          <w:szCs w:val="24"/>
        </w:rPr>
        <w:t>.</w:t>
      </w:r>
      <w:r>
        <w:rPr>
          <w:szCs w:val="24"/>
        </w:rPr>
        <w:tab/>
      </w:r>
      <w:r w:rsidR="00822937">
        <w:rPr>
          <w:szCs w:val="24"/>
        </w:rPr>
        <w:t xml:space="preserve">The only matter that is in dispute between the parties </w:t>
      </w:r>
      <w:r w:rsidR="005D1769">
        <w:rPr>
          <w:szCs w:val="24"/>
        </w:rPr>
        <w:t xml:space="preserve">is the expenditure in relation to the work undertaken by TADW </w:t>
      </w:r>
      <w:r w:rsidR="001969AC">
        <w:rPr>
          <w:szCs w:val="24"/>
        </w:rPr>
        <w:t>Architects</w:t>
      </w:r>
      <w:r w:rsidR="003A1752">
        <w:rPr>
          <w:szCs w:val="24"/>
        </w:rPr>
        <w:t xml:space="preserve">.   This involved a draft scheme </w:t>
      </w:r>
      <w:r w:rsidR="009A31AA">
        <w:rPr>
          <w:szCs w:val="24"/>
        </w:rPr>
        <w:t xml:space="preserve">which was </w:t>
      </w:r>
      <w:r w:rsidR="001969AC">
        <w:rPr>
          <w:szCs w:val="24"/>
        </w:rPr>
        <w:t>said</w:t>
      </w:r>
      <w:r w:rsidR="009A31AA">
        <w:rPr>
          <w:szCs w:val="24"/>
        </w:rPr>
        <w:t xml:space="preserve"> by the claimants to in</w:t>
      </w:r>
      <w:r w:rsidR="006768EE">
        <w:rPr>
          <w:szCs w:val="24"/>
        </w:rPr>
        <w:t>directly inform their claim for the grazing land</w:t>
      </w:r>
      <w:r w:rsidR="00950D72">
        <w:rPr>
          <w:szCs w:val="24"/>
        </w:rPr>
        <w:t xml:space="preserve">.   </w:t>
      </w:r>
    </w:p>
    <w:p w14:paraId="7280E4A0" w14:textId="441669CA" w:rsidR="00181A2E" w:rsidRDefault="00EC176B" w:rsidP="00143AC8">
      <w:pPr>
        <w:pStyle w:val="Normal2"/>
        <w:spacing w:after="360"/>
        <w:ind w:left="720" w:hanging="720"/>
        <w:rPr>
          <w:szCs w:val="24"/>
        </w:rPr>
      </w:pPr>
      <w:r>
        <w:rPr>
          <w:szCs w:val="24"/>
        </w:rPr>
        <w:t>1</w:t>
      </w:r>
      <w:r w:rsidR="00226C33">
        <w:rPr>
          <w:szCs w:val="24"/>
        </w:rPr>
        <w:t>0</w:t>
      </w:r>
      <w:r w:rsidR="0051053D">
        <w:rPr>
          <w:szCs w:val="24"/>
        </w:rPr>
        <w:t>1</w:t>
      </w:r>
      <w:r>
        <w:rPr>
          <w:szCs w:val="24"/>
        </w:rPr>
        <w:t>.</w:t>
      </w:r>
      <w:r>
        <w:rPr>
          <w:szCs w:val="24"/>
        </w:rPr>
        <w:tab/>
      </w:r>
      <w:r w:rsidR="0047529B">
        <w:rPr>
          <w:szCs w:val="24"/>
        </w:rPr>
        <w:t xml:space="preserve">It seems to me that the </w:t>
      </w:r>
      <w:r w:rsidR="00D408DC">
        <w:rPr>
          <w:szCs w:val="24"/>
        </w:rPr>
        <w:t xml:space="preserve">cost was incurred reasonably as part of the claimants’ attempt to assess the value of their claim </w:t>
      </w:r>
      <w:r w:rsidR="0047529B">
        <w:rPr>
          <w:szCs w:val="24"/>
        </w:rPr>
        <w:t xml:space="preserve">and they </w:t>
      </w:r>
      <w:r w:rsidR="00D408DC">
        <w:rPr>
          <w:szCs w:val="24"/>
        </w:rPr>
        <w:t xml:space="preserve">should </w:t>
      </w:r>
      <w:r w:rsidR="0047529B">
        <w:rPr>
          <w:szCs w:val="24"/>
        </w:rPr>
        <w:t xml:space="preserve">therefore be able to </w:t>
      </w:r>
      <w:r w:rsidR="00D408DC">
        <w:rPr>
          <w:szCs w:val="24"/>
        </w:rPr>
        <w:t xml:space="preserve">recover </w:t>
      </w:r>
      <w:r w:rsidR="00223831">
        <w:rPr>
          <w:szCs w:val="24"/>
        </w:rPr>
        <w:t>it</w:t>
      </w:r>
      <w:r w:rsidR="00D408DC">
        <w:rPr>
          <w:szCs w:val="24"/>
        </w:rPr>
        <w:t>.</w:t>
      </w:r>
    </w:p>
    <w:p w14:paraId="12D588C0" w14:textId="3ADB54D5" w:rsidR="00885FBE" w:rsidRDefault="00E769C8" w:rsidP="00143AC8">
      <w:pPr>
        <w:pStyle w:val="Normal2"/>
        <w:spacing w:after="360"/>
        <w:ind w:left="720" w:hanging="720"/>
        <w:rPr>
          <w:szCs w:val="24"/>
        </w:rPr>
      </w:pPr>
      <w:r>
        <w:rPr>
          <w:szCs w:val="24"/>
        </w:rPr>
        <w:t>1</w:t>
      </w:r>
      <w:r w:rsidR="00226C33">
        <w:rPr>
          <w:szCs w:val="24"/>
        </w:rPr>
        <w:t>0</w:t>
      </w:r>
      <w:r w:rsidR="0051053D">
        <w:rPr>
          <w:szCs w:val="24"/>
        </w:rPr>
        <w:t>2</w:t>
      </w:r>
      <w:r>
        <w:rPr>
          <w:szCs w:val="24"/>
        </w:rPr>
        <w:t>.</w:t>
      </w:r>
      <w:r>
        <w:rPr>
          <w:szCs w:val="24"/>
        </w:rPr>
        <w:tab/>
      </w:r>
      <w:r w:rsidR="005B091A">
        <w:rPr>
          <w:szCs w:val="24"/>
        </w:rPr>
        <w:t>As far as the land</w:t>
      </w:r>
      <w:r w:rsidR="00654101">
        <w:rPr>
          <w:szCs w:val="24"/>
        </w:rPr>
        <w:t xml:space="preserve">owner’s time is concerned the Acquiring Authority have agreed to </w:t>
      </w:r>
      <w:r w:rsidR="005F6A46">
        <w:rPr>
          <w:szCs w:val="24"/>
        </w:rPr>
        <w:t xml:space="preserve">pay for the period prior to the appointment of Mr Coulson </w:t>
      </w:r>
      <w:r w:rsidR="002C56C0">
        <w:rPr>
          <w:szCs w:val="24"/>
        </w:rPr>
        <w:t xml:space="preserve">in November 2016.  This amounts to </w:t>
      </w:r>
      <w:r w:rsidR="00AB76E2">
        <w:rPr>
          <w:szCs w:val="24"/>
        </w:rPr>
        <w:t>£21,350.</w:t>
      </w:r>
      <w:r w:rsidR="00533094">
        <w:rPr>
          <w:szCs w:val="24"/>
        </w:rPr>
        <w:t xml:space="preserve">   The amount of time spent </w:t>
      </w:r>
      <w:r w:rsidR="009B506D">
        <w:rPr>
          <w:szCs w:val="24"/>
        </w:rPr>
        <w:t xml:space="preserve">on the claim since 2016 </w:t>
      </w:r>
      <w:r w:rsidR="00D74ADD">
        <w:rPr>
          <w:szCs w:val="24"/>
        </w:rPr>
        <w:t>and the rate at which it is charged out is questioned by the Acquiring Authority</w:t>
      </w:r>
      <w:r w:rsidR="009B506D">
        <w:rPr>
          <w:szCs w:val="24"/>
        </w:rPr>
        <w:t>.</w:t>
      </w:r>
      <w:r w:rsidR="00993CE6">
        <w:rPr>
          <w:szCs w:val="24"/>
        </w:rPr>
        <w:t xml:space="preserve">   Mr Garner is a practi</w:t>
      </w:r>
      <w:r w:rsidR="006B1600">
        <w:rPr>
          <w:szCs w:val="24"/>
        </w:rPr>
        <w:t>s</w:t>
      </w:r>
      <w:r w:rsidR="00993CE6">
        <w:rPr>
          <w:szCs w:val="24"/>
        </w:rPr>
        <w:t xml:space="preserve">ing </w:t>
      </w:r>
      <w:r w:rsidR="003739B7">
        <w:rPr>
          <w:szCs w:val="24"/>
        </w:rPr>
        <w:t xml:space="preserve">chartered surveyor and Mr Coulson says that since 2016 </w:t>
      </w:r>
      <w:r w:rsidR="007516AF">
        <w:rPr>
          <w:szCs w:val="24"/>
        </w:rPr>
        <w:t xml:space="preserve">it has been necessary for Mr Garner to spend time away from </w:t>
      </w:r>
      <w:r w:rsidR="00346566">
        <w:rPr>
          <w:szCs w:val="24"/>
        </w:rPr>
        <w:t xml:space="preserve">his primary business to provide input </w:t>
      </w:r>
      <w:r w:rsidR="00717583">
        <w:rPr>
          <w:szCs w:val="24"/>
        </w:rPr>
        <w:t>into</w:t>
      </w:r>
      <w:r w:rsidR="00C21454">
        <w:rPr>
          <w:szCs w:val="24"/>
        </w:rPr>
        <w:t xml:space="preserve"> the team dealing with the claim.</w:t>
      </w:r>
      <w:r w:rsidR="00827287">
        <w:rPr>
          <w:szCs w:val="24"/>
        </w:rPr>
        <w:t xml:space="preserve">   Mr Coulson says that Mr Garner’s position as a surveyor has meant </w:t>
      </w:r>
      <w:r w:rsidR="00F5351C">
        <w:rPr>
          <w:szCs w:val="24"/>
        </w:rPr>
        <w:t>that he has dealt with such matters more efficiently than someone not similarly qualified.</w:t>
      </w:r>
    </w:p>
    <w:p w14:paraId="1D54726D" w14:textId="6F6DD3E6" w:rsidR="00CA0AB9" w:rsidRDefault="00E769C8" w:rsidP="00143AC8">
      <w:pPr>
        <w:pStyle w:val="Normal2"/>
        <w:spacing w:after="360"/>
        <w:ind w:left="720" w:hanging="720"/>
        <w:rPr>
          <w:szCs w:val="24"/>
        </w:rPr>
      </w:pPr>
      <w:r>
        <w:rPr>
          <w:szCs w:val="24"/>
        </w:rPr>
        <w:t>1</w:t>
      </w:r>
      <w:r w:rsidR="000D3C97">
        <w:rPr>
          <w:szCs w:val="24"/>
        </w:rPr>
        <w:t>0</w:t>
      </w:r>
      <w:r w:rsidR="0051053D">
        <w:rPr>
          <w:szCs w:val="24"/>
        </w:rPr>
        <w:t>3</w:t>
      </w:r>
      <w:r>
        <w:rPr>
          <w:szCs w:val="24"/>
        </w:rPr>
        <w:t>.</w:t>
      </w:r>
      <w:r>
        <w:rPr>
          <w:szCs w:val="24"/>
        </w:rPr>
        <w:tab/>
      </w:r>
      <w:r w:rsidR="00A06DB9">
        <w:rPr>
          <w:szCs w:val="24"/>
        </w:rPr>
        <w:t xml:space="preserve">Details supplied </w:t>
      </w:r>
      <w:r w:rsidR="00E12870">
        <w:rPr>
          <w:szCs w:val="24"/>
        </w:rPr>
        <w:t>as part of the claim show that Garner and Sons</w:t>
      </w:r>
      <w:r w:rsidR="008B12AE">
        <w:rPr>
          <w:szCs w:val="24"/>
        </w:rPr>
        <w:t xml:space="preserve"> (Mr Garner’s firm) spent a total of </w:t>
      </w:r>
      <w:r w:rsidR="00A66CC6">
        <w:rPr>
          <w:szCs w:val="24"/>
        </w:rPr>
        <w:t xml:space="preserve">106.75 hours </w:t>
      </w:r>
      <w:r w:rsidR="00E937FE">
        <w:rPr>
          <w:szCs w:val="24"/>
        </w:rPr>
        <w:t xml:space="preserve">over </w:t>
      </w:r>
      <w:r w:rsidR="0021627C">
        <w:rPr>
          <w:szCs w:val="24"/>
        </w:rPr>
        <w:t xml:space="preserve">five years </w:t>
      </w:r>
      <w:r w:rsidR="00A66CC6">
        <w:rPr>
          <w:szCs w:val="24"/>
        </w:rPr>
        <w:t xml:space="preserve">on the claim </w:t>
      </w:r>
      <w:r w:rsidR="00E231E6">
        <w:rPr>
          <w:szCs w:val="24"/>
        </w:rPr>
        <w:t>which he charge</w:t>
      </w:r>
      <w:r w:rsidR="009C459B">
        <w:rPr>
          <w:szCs w:val="24"/>
        </w:rPr>
        <w:t>d</w:t>
      </w:r>
      <w:r w:rsidR="00E231E6">
        <w:rPr>
          <w:szCs w:val="24"/>
        </w:rPr>
        <w:t xml:space="preserve"> at £200 per hour.</w:t>
      </w:r>
      <w:r w:rsidR="002072D4">
        <w:rPr>
          <w:szCs w:val="24"/>
        </w:rPr>
        <w:t xml:space="preserve">   In the following five years </w:t>
      </w:r>
      <w:r w:rsidR="00256732">
        <w:rPr>
          <w:szCs w:val="24"/>
        </w:rPr>
        <w:t xml:space="preserve">he spent a total of 132.75 hours on the claim </w:t>
      </w:r>
      <w:r w:rsidR="00BA678C">
        <w:rPr>
          <w:szCs w:val="24"/>
        </w:rPr>
        <w:t>although a significant proportion of this time relates to</w:t>
      </w:r>
      <w:r w:rsidR="00861970">
        <w:rPr>
          <w:szCs w:val="24"/>
        </w:rPr>
        <w:t xml:space="preserve"> dealing with</w:t>
      </w:r>
      <w:r w:rsidR="00BA678C">
        <w:rPr>
          <w:szCs w:val="24"/>
        </w:rPr>
        <w:t xml:space="preserve"> non-specific e-mails</w:t>
      </w:r>
      <w:r w:rsidR="00861970">
        <w:rPr>
          <w:szCs w:val="24"/>
        </w:rPr>
        <w:t xml:space="preserve"> lasting an average of 15 minutes each</w:t>
      </w:r>
      <w:r w:rsidR="00EB0B57">
        <w:rPr>
          <w:szCs w:val="24"/>
        </w:rPr>
        <w:t>.    It seems</w:t>
      </w:r>
      <w:r w:rsidR="00715076">
        <w:rPr>
          <w:szCs w:val="24"/>
        </w:rPr>
        <w:t xml:space="preserve"> </w:t>
      </w:r>
      <w:r w:rsidR="00D76D7C">
        <w:rPr>
          <w:szCs w:val="24"/>
        </w:rPr>
        <w:t xml:space="preserve">to me that </w:t>
      </w:r>
      <w:r w:rsidR="00D82491">
        <w:rPr>
          <w:szCs w:val="24"/>
        </w:rPr>
        <w:t xml:space="preserve">Mr Church is right to point out that </w:t>
      </w:r>
      <w:r w:rsidR="00D76D7C">
        <w:rPr>
          <w:szCs w:val="24"/>
        </w:rPr>
        <w:t xml:space="preserve">having handed over the </w:t>
      </w:r>
      <w:r w:rsidR="009C041B">
        <w:rPr>
          <w:szCs w:val="24"/>
        </w:rPr>
        <w:t>reins</w:t>
      </w:r>
      <w:r w:rsidR="00D76D7C">
        <w:rPr>
          <w:szCs w:val="24"/>
        </w:rPr>
        <w:t xml:space="preserve"> to Mr Coulson</w:t>
      </w:r>
      <w:r w:rsidR="007C77BC">
        <w:rPr>
          <w:szCs w:val="24"/>
        </w:rPr>
        <w:t xml:space="preserve"> it could be reasonably expected that Mr Garner would spend less time on the case</w:t>
      </w:r>
      <w:r w:rsidR="007F2EE2">
        <w:rPr>
          <w:szCs w:val="24"/>
        </w:rPr>
        <w:t xml:space="preserve"> than before.</w:t>
      </w:r>
      <w:r w:rsidR="006B53C8">
        <w:rPr>
          <w:szCs w:val="24"/>
        </w:rPr>
        <w:t xml:space="preserve"> </w:t>
      </w:r>
      <w:r w:rsidR="00203F8E">
        <w:rPr>
          <w:szCs w:val="24"/>
        </w:rPr>
        <w:t xml:space="preserve"> However, </w:t>
      </w:r>
      <w:r w:rsidR="00BF085F">
        <w:rPr>
          <w:szCs w:val="24"/>
        </w:rPr>
        <w:t xml:space="preserve">there is no evidence to prove </w:t>
      </w:r>
      <w:r w:rsidR="007E373C">
        <w:rPr>
          <w:szCs w:val="24"/>
        </w:rPr>
        <w:t xml:space="preserve">anything other than </w:t>
      </w:r>
      <w:r w:rsidR="00BC6908">
        <w:rPr>
          <w:szCs w:val="24"/>
        </w:rPr>
        <w:t xml:space="preserve">what is included in </w:t>
      </w:r>
      <w:r w:rsidR="007E373C">
        <w:rPr>
          <w:szCs w:val="24"/>
        </w:rPr>
        <w:t xml:space="preserve">Mr Garner’s </w:t>
      </w:r>
      <w:r w:rsidR="00491582">
        <w:rPr>
          <w:szCs w:val="24"/>
        </w:rPr>
        <w:t>stated records.</w:t>
      </w:r>
    </w:p>
    <w:p w14:paraId="2D5915C4" w14:textId="0689A4DA" w:rsidR="0021777F" w:rsidRDefault="00E769C8" w:rsidP="00143AC8">
      <w:pPr>
        <w:pStyle w:val="Normal2"/>
        <w:spacing w:after="360"/>
        <w:ind w:left="720" w:hanging="720"/>
        <w:rPr>
          <w:szCs w:val="24"/>
        </w:rPr>
      </w:pPr>
      <w:r>
        <w:rPr>
          <w:szCs w:val="24"/>
        </w:rPr>
        <w:t>1</w:t>
      </w:r>
      <w:r w:rsidR="000D3C97">
        <w:rPr>
          <w:szCs w:val="24"/>
        </w:rPr>
        <w:t>0</w:t>
      </w:r>
      <w:r w:rsidR="0051053D">
        <w:rPr>
          <w:szCs w:val="24"/>
        </w:rPr>
        <w:t>4</w:t>
      </w:r>
      <w:r>
        <w:rPr>
          <w:szCs w:val="24"/>
        </w:rPr>
        <w:t>.</w:t>
      </w:r>
      <w:r>
        <w:rPr>
          <w:szCs w:val="24"/>
        </w:rPr>
        <w:tab/>
      </w:r>
      <w:r w:rsidR="00D04A34">
        <w:rPr>
          <w:szCs w:val="24"/>
        </w:rPr>
        <w:t>Additionally,</w:t>
      </w:r>
      <w:r w:rsidR="00CA0AB9">
        <w:rPr>
          <w:szCs w:val="24"/>
        </w:rPr>
        <w:t xml:space="preserve"> Mr Garner owns the site </w:t>
      </w:r>
      <w:r w:rsidR="00E61D25">
        <w:rPr>
          <w:szCs w:val="24"/>
        </w:rPr>
        <w:t xml:space="preserve">with his brother in a private capacity </w:t>
      </w:r>
      <w:r w:rsidR="00185D10">
        <w:rPr>
          <w:szCs w:val="24"/>
        </w:rPr>
        <w:t xml:space="preserve">and </w:t>
      </w:r>
      <w:r w:rsidR="003C020F">
        <w:rPr>
          <w:szCs w:val="24"/>
        </w:rPr>
        <w:t xml:space="preserve">there is no evidence that his business has suffered a loss as a result </w:t>
      </w:r>
      <w:r w:rsidR="007B2978">
        <w:rPr>
          <w:szCs w:val="24"/>
        </w:rPr>
        <w:t xml:space="preserve">of time he has spent on the claim.    </w:t>
      </w:r>
      <w:r w:rsidR="00D04A34">
        <w:rPr>
          <w:szCs w:val="24"/>
        </w:rPr>
        <w:t xml:space="preserve">It is inappropriate therefore for Mr Garner to claim </w:t>
      </w:r>
      <w:r w:rsidR="00372606">
        <w:rPr>
          <w:szCs w:val="24"/>
        </w:rPr>
        <w:t>at the same rate as</w:t>
      </w:r>
      <w:r w:rsidR="0021627C">
        <w:rPr>
          <w:szCs w:val="24"/>
        </w:rPr>
        <w:t xml:space="preserve"> </w:t>
      </w:r>
      <w:r w:rsidR="00076672">
        <w:rPr>
          <w:szCs w:val="24"/>
        </w:rPr>
        <w:t>for the period when he was handling the claim through his surveying practice.</w:t>
      </w:r>
    </w:p>
    <w:p w14:paraId="587300BE" w14:textId="50573DB4" w:rsidR="00717583" w:rsidRDefault="00E769C8" w:rsidP="00143AC8">
      <w:pPr>
        <w:pStyle w:val="Normal2"/>
        <w:spacing w:after="360"/>
        <w:ind w:left="720" w:hanging="720"/>
        <w:rPr>
          <w:szCs w:val="24"/>
        </w:rPr>
      </w:pPr>
      <w:r>
        <w:rPr>
          <w:szCs w:val="24"/>
        </w:rPr>
        <w:t>1</w:t>
      </w:r>
      <w:r w:rsidR="000D3C97">
        <w:rPr>
          <w:szCs w:val="24"/>
        </w:rPr>
        <w:t>0</w:t>
      </w:r>
      <w:r w:rsidR="0051053D">
        <w:rPr>
          <w:szCs w:val="24"/>
        </w:rPr>
        <w:t>5</w:t>
      </w:r>
      <w:r>
        <w:rPr>
          <w:szCs w:val="24"/>
        </w:rPr>
        <w:t>.</w:t>
      </w:r>
      <w:r>
        <w:rPr>
          <w:szCs w:val="24"/>
        </w:rPr>
        <w:tab/>
      </w:r>
      <w:r w:rsidR="0021777F">
        <w:rPr>
          <w:szCs w:val="24"/>
        </w:rPr>
        <w:t xml:space="preserve">Mr Church </w:t>
      </w:r>
      <w:r w:rsidR="001B5125">
        <w:rPr>
          <w:szCs w:val="24"/>
        </w:rPr>
        <w:t xml:space="preserve">says that claims have been settled in relation to the same scheme </w:t>
      </w:r>
      <w:r w:rsidR="003B4644">
        <w:rPr>
          <w:szCs w:val="24"/>
        </w:rPr>
        <w:t>at £25 per hour fo</w:t>
      </w:r>
      <w:r w:rsidR="008469E7">
        <w:rPr>
          <w:szCs w:val="24"/>
        </w:rPr>
        <w:t>r</w:t>
      </w:r>
      <w:r w:rsidR="003B4644">
        <w:rPr>
          <w:szCs w:val="24"/>
        </w:rPr>
        <w:t xml:space="preserve"> landowner</w:t>
      </w:r>
      <w:r w:rsidR="00E418A8">
        <w:rPr>
          <w:szCs w:val="24"/>
        </w:rPr>
        <w:t>s’ time</w:t>
      </w:r>
      <w:r w:rsidR="00077624">
        <w:rPr>
          <w:szCs w:val="24"/>
        </w:rPr>
        <w:t xml:space="preserve"> but he makes a</w:t>
      </w:r>
      <w:r w:rsidR="009C0340">
        <w:rPr>
          <w:szCs w:val="24"/>
        </w:rPr>
        <w:t xml:space="preserve">n </w:t>
      </w:r>
      <w:r w:rsidR="00077624">
        <w:rPr>
          <w:szCs w:val="24"/>
        </w:rPr>
        <w:t xml:space="preserve">adjustment </w:t>
      </w:r>
      <w:r w:rsidR="009A43D1">
        <w:rPr>
          <w:szCs w:val="24"/>
        </w:rPr>
        <w:t>for an affected part</w:t>
      </w:r>
      <w:r w:rsidR="00D84D92">
        <w:rPr>
          <w:szCs w:val="24"/>
        </w:rPr>
        <w:t>y’s input.</w:t>
      </w:r>
      <w:r w:rsidR="008469E7">
        <w:rPr>
          <w:szCs w:val="24"/>
        </w:rPr>
        <w:t xml:space="preserve">    This seems reasonable to me and I therefore determine </w:t>
      </w:r>
      <w:r w:rsidR="00110113">
        <w:rPr>
          <w:szCs w:val="24"/>
        </w:rPr>
        <w:t xml:space="preserve">the amount due to the claimants at </w:t>
      </w:r>
      <w:r w:rsidR="00EE5A35">
        <w:rPr>
          <w:szCs w:val="24"/>
        </w:rPr>
        <w:t>£</w:t>
      </w:r>
      <w:r w:rsidR="00172F08">
        <w:rPr>
          <w:szCs w:val="24"/>
        </w:rPr>
        <w:t xml:space="preserve">26,350. </w:t>
      </w:r>
    </w:p>
    <w:p w14:paraId="74244C77" w14:textId="241AFF38" w:rsidR="00081F15" w:rsidRPr="005801AC" w:rsidRDefault="001E525C" w:rsidP="00FE746A">
      <w:pPr>
        <w:pStyle w:val="Normal2"/>
        <w:spacing w:after="360"/>
        <w:jc w:val="left"/>
        <w:rPr>
          <w:b/>
          <w:bCs/>
          <w:szCs w:val="24"/>
        </w:rPr>
      </w:pPr>
      <w:r w:rsidRPr="005801AC">
        <w:rPr>
          <w:b/>
          <w:bCs/>
          <w:szCs w:val="24"/>
        </w:rPr>
        <w:t>Summary</w:t>
      </w:r>
    </w:p>
    <w:p w14:paraId="079A2923" w14:textId="60A69DC5" w:rsidR="001E525C" w:rsidRPr="00CF5BB1" w:rsidRDefault="00E769C8" w:rsidP="00FE746A">
      <w:pPr>
        <w:pStyle w:val="Normal2"/>
        <w:spacing w:after="360"/>
        <w:jc w:val="left"/>
        <w:rPr>
          <w:szCs w:val="24"/>
        </w:rPr>
      </w:pPr>
      <w:r>
        <w:rPr>
          <w:szCs w:val="24"/>
        </w:rPr>
        <w:t>1</w:t>
      </w:r>
      <w:r w:rsidR="008E0980">
        <w:rPr>
          <w:szCs w:val="24"/>
        </w:rPr>
        <w:t>0</w:t>
      </w:r>
      <w:r w:rsidR="0051053D">
        <w:rPr>
          <w:szCs w:val="24"/>
        </w:rPr>
        <w:t>6</w:t>
      </w:r>
      <w:r>
        <w:rPr>
          <w:szCs w:val="24"/>
        </w:rPr>
        <w:t>.</w:t>
      </w:r>
      <w:r>
        <w:rPr>
          <w:szCs w:val="24"/>
        </w:rPr>
        <w:tab/>
      </w:r>
      <w:r w:rsidR="001E525C">
        <w:rPr>
          <w:szCs w:val="24"/>
        </w:rPr>
        <w:t xml:space="preserve">I determine the </w:t>
      </w:r>
      <w:r w:rsidR="00ED203F">
        <w:rPr>
          <w:szCs w:val="24"/>
        </w:rPr>
        <w:t>claim as follows</w:t>
      </w:r>
      <w:r w:rsidR="002E332B">
        <w:rPr>
          <w:szCs w:val="24"/>
        </w:rPr>
        <w:t>:</w:t>
      </w:r>
    </w:p>
    <w:p w14:paraId="3A4278CB" w14:textId="05F46032" w:rsidR="00081F15" w:rsidRDefault="00B74452" w:rsidP="00802332">
      <w:pPr>
        <w:pStyle w:val="Normal2"/>
        <w:numPr>
          <w:ilvl w:val="0"/>
          <w:numId w:val="14"/>
        </w:numPr>
        <w:tabs>
          <w:tab w:val="left" w:pos="7153"/>
        </w:tabs>
        <w:spacing w:after="360"/>
        <w:jc w:val="left"/>
        <w:rPr>
          <w:szCs w:val="24"/>
        </w:rPr>
      </w:pPr>
      <w:bookmarkStart w:id="4" w:name="OLE_LINK1"/>
      <w:r>
        <w:rPr>
          <w:szCs w:val="24"/>
        </w:rPr>
        <w:t xml:space="preserve">Land </w:t>
      </w:r>
      <w:r w:rsidR="001B5AFC">
        <w:rPr>
          <w:szCs w:val="24"/>
        </w:rPr>
        <w:t>taken</w:t>
      </w:r>
      <w:r w:rsidR="008F7B46">
        <w:rPr>
          <w:szCs w:val="24"/>
        </w:rPr>
        <w:t xml:space="preserve"> </w:t>
      </w:r>
      <w:r w:rsidR="007B0858">
        <w:rPr>
          <w:szCs w:val="24"/>
        </w:rPr>
        <w:t>(market value)</w:t>
      </w:r>
      <w:r w:rsidR="00802332">
        <w:rPr>
          <w:szCs w:val="24"/>
        </w:rPr>
        <w:tab/>
      </w:r>
      <w:r w:rsidR="002E332B">
        <w:rPr>
          <w:szCs w:val="24"/>
        </w:rPr>
        <w:tab/>
        <w:t>£</w:t>
      </w:r>
      <w:r w:rsidR="008F7B46">
        <w:rPr>
          <w:szCs w:val="24"/>
        </w:rPr>
        <w:t>292,400</w:t>
      </w:r>
    </w:p>
    <w:p w14:paraId="401BC942" w14:textId="4904B233" w:rsidR="007B0858" w:rsidRDefault="007B0858" w:rsidP="002E332B">
      <w:pPr>
        <w:pStyle w:val="Normal2"/>
        <w:numPr>
          <w:ilvl w:val="0"/>
          <w:numId w:val="14"/>
        </w:numPr>
        <w:tabs>
          <w:tab w:val="left" w:pos="7088"/>
        </w:tabs>
        <w:spacing w:after="360"/>
        <w:jc w:val="left"/>
        <w:rPr>
          <w:szCs w:val="24"/>
        </w:rPr>
      </w:pPr>
      <w:r>
        <w:rPr>
          <w:szCs w:val="24"/>
        </w:rPr>
        <w:t>Grazing Land (</w:t>
      </w:r>
      <w:r w:rsidR="00DA3AA9">
        <w:rPr>
          <w:szCs w:val="24"/>
        </w:rPr>
        <w:t>severance and injurious affection)</w:t>
      </w:r>
      <w:r w:rsidR="002E332B">
        <w:rPr>
          <w:szCs w:val="24"/>
        </w:rPr>
        <w:tab/>
        <w:t xml:space="preserve"> </w:t>
      </w:r>
      <w:r w:rsidR="002E332B">
        <w:rPr>
          <w:szCs w:val="24"/>
        </w:rPr>
        <w:tab/>
        <w:t>£</w:t>
      </w:r>
      <w:r w:rsidR="002F478B">
        <w:rPr>
          <w:szCs w:val="24"/>
        </w:rPr>
        <w:t>126,500</w:t>
      </w:r>
    </w:p>
    <w:p w14:paraId="7D6C01AF" w14:textId="666772DE" w:rsidR="00977ACC" w:rsidRDefault="00977ACC" w:rsidP="00977ACC">
      <w:pPr>
        <w:pStyle w:val="Normal2"/>
        <w:numPr>
          <w:ilvl w:val="0"/>
          <w:numId w:val="14"/>
        </w:numPr>
        <w:spacing w:after="360"/>
        <w:jc w:val="left"/>
        <w:rPr>
          <w:szCs w:val="24"/>
        </w:rPr>
      </w:pPr>
      <w:r>
        <w:rPr>
          <w:szCs w:val="24"/>
        </w:rPr>
        <w:t>Car Parking Land (severance and injurious affection)</w:t>
      </w:r>
      <w:r w:rsidR="002E332B">
        <w:rPr>
          <w:szCs w:val="24"/>
        </w:rPr>
        <w:tab/>
      </w:r>
      <w:r w:rsidR="002E332B">
        <w:rPr>
          <w:szCs w:val="24"/>
        </w:rPr>
        <w:tab/>
        <w:t>£</w:t>
      </w:r>
      <w:r w:rsidR="00D26B17">
        <w:rPr>
          <w:szCs w:val="24"/>
        </w:rPr>
        <w:t xml:space="preserve">  7</w:t>
      </w:r>
      <w:r w:rsidR="0001514C">
        <w:rPr>
          <w:szCs w:val="24"/>
        </w:rPr>
        <w:t>5</w:t>
      </w:r>
      <w:r w:rsidR="0097655C">
        <w:rPr>
          <w:szCs w:val="24"/>
        </w:rPr>
        <w:t>,000</w:t>
      </w:r>
    </w:p>
    <w:p w14:paraId="56895CE6" w14:textId="0EF0FCA8" w:rsidR="00DA3AA9" w:rsidRDefault="00977ACC" w:rsidP="007B0858">
      <w:pPr>
        <w:pStyle w:val="Normal2"/>
        <w:numPr>
          <w:ilvl w:val="0"/>
          <w:numId w:val="14"/>
        </w:numPr>
        <w:spacing w:after="360"/>
        <w:jc w:val="left"/>
        <w:rPr>
          <w:szCs w:val="24"/>
        </w:rPr>
      </w:pPr>
      <w:r>
        <w:rPr>
          <w:szCs w:val="24"/>
        </w:rPr>
        <w:lastRenderedPageBreak/>
        <w:t>Tele</w:t>
      </w:r>
      <w:r w:rsidR="002F552B">
        <w:rPr>
          <w:szCs w:val="24"/>
        </w:rPr>
        <w:t>coms Mast (injurious affection)</w:t>
      </w:r>
      <w:r w:rsidR="004F1738">
        <w:rPr>
          <w:szCs w:val="24"/>
        </w:rPr>
        <w:tab/>
      </w:r>
      <w:r w:rsidR="004F1738">
        <w:rPr>
          <w:szCs w:val="24"/>
        </w:rPr>
        <w:tab/>
      </w:r>
      <w:r w:rsidR="004F1738">
        <w:rPr>
          <w:szCs w:val="24"/>
        </w:rPr>
        <w:tab/>
      </w:r>
      <w:r w:rsidR="004F1738">
        <w:rPr>
          <w:szCs w:val="24"/>
        </w:rPr>
        <w:tab/>
      </w:r>
      <w:r w:rsidR="006339C3">
        <w:rPr>
          <w:szCs w:val="24"/>
        </w:rPr>
        <w:t>£  19,871</w:t>
      </w:r>
    </w:p>
    <w:p w14:paraId="118E1C6D" w14:textId="2297FEE9" w:rsidR="00674382" w:rsidRDefault="00674382" w:rsidP="007B0858">
      <w:pPr>
        <w:pStyle w:val="Normal2"/>
        <w:numPr>
          <w:ilvl w:val="0"/>
          <w:numId w:val="14"/>
        </w:numPr>
        <w:spacing w:after="360"/>
        <w:jc w:val="left"/>
        <w:rPr>
          <w:szCs w:val="24"/>
        </w:rPr>
      </w:pPr>
      <w:r>
        <w:rPr>
          <w:szCs w:val="24"/>
        </w:rPr>
        <w:t>Easements (injurious affection)</w:t>
      </w:r>
      <w:r>
        <w:rPr>
          <w:szCs w:val="24"/>
        </w:rPr>
        <w:tab/>
      </w:r>
      <w:r>
        <w:rPr>
          <w:szCs w:val="24"/>
        </w:rPr>
        <w:tab/>
      </w:r>
      <w:r>
        <w:rPr>
          <w:szCs w:val="24"/>
        </w:rPr>
        <w:tab/>
      </w:r>
      <w:r>
        <w:rPr>
          <w:szCs w:val="24"/>
        </w:rPr>
        <w:tab/>
      </w:r>
      <w:r>
        <w:rPr>
          <w:szCs w:val="24"/>
        </w:rPr>
        <w:tab/>
        <w:t xml:space="preserve">£     </w:t>
      </w:r>
      <w:r w:rsidR="007E5D45">
        <w:rPr>
          <w:szCs w:val="24"/>
        </w:rPr>
        <w:t xml:space="preserve"> </w:t>
      </w:r>
      <w:r>
        <w:rPr>
          <w:szCs w:val="24"/>
        </w:rPr>
        <w:t xml:space="preserve"> 825</w:t>
      </w:r>
    </w:p>
    <w:p w14:paraId="59374174" w14:textId="67F85461" w:rsidR="002F552B" w:rsidRDefault="00A96CDC" w:rsidP="007B0858">
      <w:pPr>
        <w:pStyle w:val="Normal2"/>
        <w:numPr>
          <w:ilvl w:val="0"/>
          <w:numId w:val="14"/>
        </w:numPr>
        <w:spacing w:after="360"/>
        <w:jc w:val="left"/>
        <w:rPr>
          <w:szCs w:val="24"/>
        </w:rPr>
      </w:pPr>
      <w:r>
        <w:rPr>
          <w:szCs w:val="24"/>
        </w:rPr>
        <w:t>Basic</w:t>
      </w:r>
      <w:r w:rsidR="00387643">
        <w:rPr>
          <w:szCs w:val="24"/>
        </w:rPr>
        <w:t xml:space="preserve"> </w:t>
      </w:r>
      <w:r>
        <w:rPr>
          <w:szCs w:val="24"/>
        </w:rPr>
        <w:t>Loss Payment</w:t>
      </w:r>
      <w:r w:rsidR="004F1738">
        <w:rPr>
          <w:szCs w:val="24"/>
        </w:rPr>
        <w:tab/>
      </w:r>
      <w:r w:rsidR="004F1738">
        <w:rPr>
          <w:szCs w:val="24"/>
        </w:rPr>
        <w:tab/>
      </w:r>
      <w:r w:rsidR="004F1738">
        <w:rPr>
          <w:szCs w:val="24"/>
        </w:rPr>
        <w:tab/>
      </w:r>
      <w:r w:rsidR="004F1738">
        <w:rPr>
          <w:szCs w:val="24"/>
        </w:rPr>
        <w:tab/>
      </w:r>
      <w:r w:rsidR="004F1738">
        <w:rPr>
          <w:szCs w:val="24"/>
        </w:rPr>
        <w:tab/>
      </w:r>
      <w:r w:rsidR="00D50CD7">
        <w:rPr>
          <w:szCs w:val="24"/>
        </w:rPr>
        <w:t xml:space="preserve">            </w:t>
      </w:r>
      <w:r w:rsidR="000F234F">
        <w:rPr>
          <w:szCs w:val="24"/>
        </w:rPr>
        <w:t xml:space="preserve"> </w:t>
      </w:r>
      <w:r w:rsidR="004F1738">
        <w:rPr>
          <w:szCs w:val="24"/>
        </w:rPr>
        <w:t>£</w:t>
      </w:r>
      <w:r w:rsidR="00771E3C">
        <w:rPr>
          <w:szCs w:val="24"/>
        </w:rPr>
        <w:t xml:space="preserve">  21,930</w:t>
      </w:r>
    </w:p>
    <w:p w14:paraId="69D299C9" w14:textId="5B9E71B0" w:rsidR="00727F31" w:rsidRDefault="00012510" w:rsidP="00837FD1">
      <w:pPr>
        <w:pStyle w:val="Normal2"/>
        <w:numPr>
          <w:ilvl w:val="0"/>
          <w:numId w:val="14"/>
        </w:numPr>
        <w:tabs>
          <w:tab w:val="left" w:pos="7335"/>
        </w:tabs>
        <w:spacing w:after="360"/>
        <w:jc w:val="left"/>
        <w:rPr>
          <w:szCs w:val="24"/>
        </w:rPr>
      </w:pPr>
      <w:r>
        <w:rPr>
          <w:szCs w:val="24"/>
        </w:rPr>
        <w:t>Disturbance (l</w:t>
      </w:r>
      <w:r w:rsidR="00387643">
        <w:rPr>
          <w:szCs w:val="24"/>
        </w:rPr>
        <w:t xml:space="preserve">andowner’s </w:t>
      </w:r>
      <w:r w:rsidR="006339C3">
        <w:rPr>
          <w:szCs w:val="24"/>
        </w:rPr>
        <w:t>time)</w:t>
      </w:r>
      <w:r w:rsidR="000F234F">
        <w:rPr>
          <w:szCs w:val="24"/>
        </w:rPr>
        <w:t xml:space="preserve">                                                        £  </w:t>
      </w:r>
      <w:r w:rsidR="001C0EA0">
        <w:rPr>
          <w:szCs w:val="24"/>
        </w:rPr>
        <w:t>26,350</w:t>
      </w:r>
    </w:p>
    <w:p w14:paraId="30066E2D" w14:textId="02824BFC" w:rsidR="00387643" w:rsidRDefault="001C0EA0" w:rsidP="00837FD1">
      <w:pPr>
        <w:pStyle w:val="Normal2"/>
        <w:numPr>
          <w:ilvl w:val="0"/>
          <w:numId w:val="14"/>
        </w:numPr>
        <w:tabs>
          <w:tab w:val="left" w:pos="7335"/>
        </w:tabs>
        <w:spacing w:after="360"/>
        <w:jc w:val="left"/>
        <w:rPr>
          <w:szCs w:val="24"/>
        </w:rPr>
      </w:pPr>
      <w:r>
        <w:rPr>
          <w:szCs w:val="24"/>
        </w:rPr>
        <w:t>Disturba</w:t>
      </w:r>
      <w:r w:rsidR="00EE2111">
        <w:rPr>
          <w:szCs w:val="24"/>
        </w:rPr>
        <w:t>nce</w:t>
      </w:r>
      <w:r w:rsidR="00932C7A">
        <w:rPr>
          <w:szCs w:val="24"/>
        </w:rPr>
        <w:t xml:space="preserve">                                                                                        £  </w:t>
      </w:r>
      <w:r w:rsidR="004B357A">
        <w:rPr>
          <w:szCs w:val="24"/>
        </w:rPr>
        <w:t>22,095</w:t>
      </w:r>
    </w:p>
    <w:bookmarkEnd w:id="4"/>
    <w:p w14:paraId="0FC2A44C" w14:textId="5CAC1925" w:rsidR="007B0858" w:rsidRPr="00CF5BB1" w:rsidRDefault="002A09C8" w:rsidP="00B74452">
      <w:pPr>
        <w:pStyle w:val="Normal2"/>
        <w:spacing w:after="360"/>
        <w:ind w:firstLine="720"/>
        <w:jc w:val="left"/>
        <w:rPr>
          <w:szCs w:val="24"/>
        </w:rPr>
      </w:pPr>
      <w:r>
        <w:rPr>
          <w:szCs w:val="24"/>
        </w:rPr>
        <w:t xml:space="preserve">TOTAL </w:t>
      </w:r>
      <w:r>
        <w:rPr>
          <w:szCs w:val="24"/>
        </w:rPr>
        <w:tab/>
      </w:r>
      <w:r>
        <w:rPr>
          <w:szCs w:val="24"/>
        </w:rPr>
        <w:tab/>
      </w:r>
      <w:r>
        <w:rPr>
          <w:szCs w:val="24"/>
        </w:rPr>
        <w:tab/>
      </w:r>
      <w:r>
        <w:rPr>
          <w:szCs w:val="24"/>
        </w:rPr>
        <w:tab/>
      </w:r>
      <w:r>
        <w:rPr>
          <w:szCs w:val="24"/>
        </w:rPr>
        <w:tab/>
      </w:r>
      <w:r>
        <w:rPr>
          <w:szCs w:val="24"/>
        </w:rPr>
        <w:tab/>
      </w:r>
      <w:r w:rsidR="007E5D45">
        <w:rPr>
          <w:szCs w:val="24"/>
        </w:rPr>
        <w:t xml:space="preserve"> </w:t>
      </w:r>
      <w:r>
        <w:rPr>
          <w:szCs w:val="24"/>
        </w:rPr>
        <w:tab/>
      </w:r>
      <w:r>
        <w:rPr>
          <w:szCs w:val="24"/>
        </w:rPr>
        <w:tab/>
        <w:t>£</w:t>
      </w:r>
      <w:r w:rsidR="007855DB">
        <w:rPr>
          <w:szCs w:val="24"/>
        </w:rPr>
        <w:t>58</w:t>
      </w:r>
      <w:r w:rsidR="004B357A">
        <w:rPr>
          <w:szCs w:val="24"/>
        </w:rPr>
        <w:t>4,971</w:t>
      </w:r>
    </w:p>
    <w:tbl>
      <w:tblPr>
        <w:tblStyle w:val="TableGrid"/>
        <w:tblW w:w="14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992"/>
        <w:gridCol w:w="3544"/>
        <w:gridCol w:w="992"/>
      </w:tblGrid>
      <w:tr w:rsidR="00081F15" w:rsidRPr="00CF5BB1" w14:paraId="002DD261" w14:textId="77777777" w:rsidTr="00572479">
        <w:trPr>
          <w:trHeight w:val="1962"/>
        </w:trPr>
        <w:tc>
          <w:tcPr>
            <w:tcW w:w="9072" w:type="dxa"/>
          </w:tcPr>
          <w:p w14:paraId="23789A54" w14:textId="77777777" w:rsidR="00081F15" w:rsidRDefault="00253131" w:rsidP="00FE746A">
            <w:pPr>
              <w:pStyle w:val="Normal2"/>
              <w:spacing w:after="360"/>
              <w:jc w:val="left"/>
              <w:rPr>
                <w:b/>
                <w:bCs/>
                <w:szCs w:val="24"/>
              </w:rPr>
            </w:pPr>
            <w:r w:rsidRPr="00253131">
              <w:rPr>
                <w:b/>
                <w:bCs/>
                <w:szCs w:val="24"/>
              </w:rPr>
              <w:t xml:space="preserve">Costs </w:t>
            </w:r>
          </w:p>
          <w:p w14:paraId="7836936E" w14:textId="4C66432B" w:rsidR="00CB5D80" w:rsidRDefault="00CB5D80" w:rsidP="00572479">
            <w:pPr>
              <w:pStyle w:val="Normal2"/>
              <w:spacing w:after="360"/>
              <w:ind w:left="604" w:hanging="604"/>
            </w:pPr>
            <w:r w:rsidRPr="001F3114">
              <w:rPr>
                <w:szCs w:val="24"/>
              </w:rPr>
              <w:t>1</w:t>
            </w:r>
            <w:r w:rsidR="008E0980">
              <w:rPr>
                <w:szCs w:val="24"/>
              </w:rPr>
              <w:t>0</w:t>
            </w:r>
            <w:r w:rsidR="0051053D">
              <w:rPr>
                <w:szCs w:val="24"/>
              </w:rPr>
              <w:t>7</w:t>
            </w:r>
            <w:r w:rsidRPr="001F3114">
              <w:rPr>
                <w:szCs w:val="24"/>
              </w:rPr>
              <w:t>.</w:t>
            </w:r>
            <w:r>
              <w:rPr>
                <w:b/>
                <w:bCs/>
                <w:szCs w:val="24"/>
              </w:rPr>
              <w:t xml:space="preserve">   </w:t>
            </w:r>
            <w:r>
              <w:t>This decision is otherwise final on all matters other than the cost of the reference. Any application for costs should be made in accordance with rule 10(10) of the Tribunal’s Procedure Rules.</w:t>
            </w:r>
          </w:p>
          <w:p w14:paraId="0CD1A32D" w14:textId="5AFB5D49" w:rsidR="00CC2FF4" w:rsidRPr="00253131" w:rsidRDefault="00CC2FF4" w:rsidP="00572479">
            <w:pPr>
              <w:pStyle w:val="Normal2"/>
              <w:spacing w:after="360"/>
              <w:ind w:left="604" w:hanging="604"/>
              <w:rPr>
                <w:b/>
                <w:bCs/>
                <w:szCs w:val="24"/>
              </w:rPr>
            </w:pPr>
          </w:p>
        </w:tc>
        <w:tc>
          <w:tcPr>
            <w:tcW w:w="992" w:type="dxa"/>
          </w:tcPr>
          <w:p w14:paraId="616DB496" w14:textId="77777777" w:rsidR="00081F15" w:rsidRPr="00CF5BB1" w:rsidRDefault="00081F15" w:rsidP="00FE746A">
            <w:pPr>
              <w:pStyle w:val="Normal2"/>
              <w:spacing w:after="360"/>
              <w:jc w:val="left"/>
              <w:rPr>
                <w:szCs w:val="24"/>
              </w:rPr>
            </w:pPr>
          </w:p>
        </w:tc>
        <w:tc>
          <w:tcPr>
            <w:tcW w:w="4536" w:type="dxa"/>
            <w:gridSpan w:val="2"/>
          </w:tcPr>
          <w:p w14:paraId="48B5C405" w14:textId="0E29D3AC" w:rsidR="00081F15" w:rsidRPr="00CF5BB1" w:rsidRDefault="00081F15" w:rsidP="00FE746A">
            <w:pPr>
              <w:pStyle w:val="Normal2"/>
              <w:spacing w:after="360"/>
              <w:jc w:val="left"/>
              <w:rPr>
                <w:szCs w:val="24"/>
              </w:rPr>
            </w:pPr>
          </w:p>
        </w:tc>
      </w:tr>
      <w:tr w:rsidR="00081F15" w:rsidRPr="00CF5BB1" w14:paraId="2034B446" w14:textId="77777777" w:rsidTr="00572479">
        <w:tc>
          <w:tcPr>
            <w:tcW w:w="9072" w:type="dxa"/>
          </w:tcPr>
          <w:p w14:paraId="03B62F7B" w14:textId="77777777" w:rsidR="00081F15" w:rsidRDefault="000730A6" w:rsidP="000730A6">
            <w:pPr>
              <w:pStyle w:val="Normal2"/>
              <w:spacing w:before="0" w:after="0"/>
              <w:jc w:val="center"/>
              <w:rPr>
                <w:szCs w:val="24"/>
              </w:rPr>
            </w:pPr>
            <w:r>
              <w:rPr>
                <w:szCs w:val="24"/>
              </w:rPr>
              <w:t>Mark Higgin FRICS</w:t>
            </w:r>
          </w:p>
          <w:p w14:paraId="27D1E311" w14:textId="77777777" w:rsidR="000730A6" w:rsidRDefault="000730A6" w:rsidP="000730A6">
            <w:pPr>
              <w:pStyle w:val="Normal2"/>
              <w:spacing w:before="0" w:after="0"/>
              <w:jc w:val="center"/>
              <w:rPr>
                <w:szCs w:val="24"/>
              </w:rPr>
            </w:pPr>
            <w:r>
              <w:rPr>
                <w:szCs w:val="24"/>
              </w:rPr>
              <w:t>Member</w:t>
            </w:r>
          </w:p>
          <w:p w14:paraId="328C3456" w14:textId="1EDD2CC3" w:rsidR="000730A6" w:rsidRDefault="000730A6" w:rsidP="000730A6">
            <w:pPr>
              <w:pStyle w:val="Normal2"/>
              <w:spacing w:before="0" w:after="0"/>
              <w:jc w:val="center"/>
              <w:rPr>
                <w:szCs w:val="24"/>
              </w:rPr>
            </w:pPr>
            <w:r>
              <w:rPr>
                <w:szCs w:val="24"/>
              </w:rPr>
              <w:t>Upper Tribunal (Lands Chamber)</w:t>
            </w:r>
          </w:p>
          <w:p w14:paraId="260B0264" w14:textId="77777777" w:rsidR="000730A6" w:rsidRDefault="000730A6" w:rsidP="000730A6">
            <w:pPr>
              <w:pStyle w:val="Normal2"/>
              <w:spacing w:before="0" w:after="0"/>
              <w:jc w:val="center"/>
              <w:rPr>
                <w:szCs w:val="24"/>
              </w:rPr>
            </w:pPr>
          </w:p>
          <w:p w14:paraId="78EC8F8D" w14:textId="41764069" w:rsidR="000730A6" w:rsidRPr="00CF5BB1" w:rsidRDefault="0054411F" w:rsidP="000730A6">
            <w:pPr>
              <w:pStyle w:val="Normal2"/>
              <w:spacing w:before="0" w:after="0"/>
              <w:jc w:val="center"/>
              <w:rPr>
                <w:szCs w:val="24"/>
              </w:rPr>
            </w:pPr>
            <w:r>
              <w:rPr>
                <w:szCs w:val="24"/>
              </w:rPr>
              <w:t>1 February</w:t>
            </w:r>
            <w:r w:rsidR="00911665">
              <w:rPr>
                <w:szCs w:val="24"/>
              </w:rPr>
              <w:t xml:space="preserve"> 202</w:t>
            </w:r>
            <w:r w:rsidR="009B2E10">
              <w:rPr>
                <w:szCs w:val="24"/>
              </w:rPr>
              <w:t>2</w:t>
            </w:r>
          </w:p>
        </w:tc>
        <w:tc>
          <w:tcPr>
            <w:tcW w:w="992" w:type="dxa"/>
          </w:tcPr>
          <w:p w14:paraId="264C1CE5" w14:textId="77777777" w:rsidR="00081F15" w:rsidRPr="00CF5BB1" w:rsidRDefault="00081F15" w:rsidP="000730A6">
            <w:pPr>
              <w:pStyle w:val="Normal2"/>
              <w:spacing w:after="360"/>
              <w:jc w:val="center"/>
              <w:rPr>
                <w:szCs w:val="24"/>
              </w:rPr>
            </w:pPr>
          </w:p>
        </w:tc>
        <w:tc>
          <w:tcPr>
            <w:tcW w:w="4536" w:type="dxa"/>
            <w:gridSpan w:val="2"/>
          </w:tcPr>
          <w:p w14:paraId="50FD4B0B" w14:textId="63BD1907" w:rsidR="00081F15" w:rsidRPr="00CF5BB1" w:rsidRDefault="00081F15" w:rsidP="000730A6">
            <w:pPr>
              <w:pStyle w:val="Normal2"/>
              <w:spacing w:after="360"/>
              <w:jc w:val="center"/>
              <w:rPr>
                <w:szCs w:val="24"/>
              </w:rPr>
            </w:pPr>
          </w:p>
        </w:tc>
      </w:tr>
      <w:tr w:rsidR="000730A6" w:rsidRPr="00CF5BB1" w14:paraId="53559661" w14:textId="77777777" w:rsidTr="00572479">
        <w:trPr>
          <w:gridAfter w:val="1"/>
          <w:wAfter w:w="992" w:type="dxa"/>
        </w:trPr>
        <w:tc>
          <w:tcPr>
            <w:tcW w:w="9072" w:type="dxa"/>
          </w:tcPr>
          <w:p w14:paraId="20F49BA7" w14:textId="77777777" w:rsidR="000730A6" w:rsidRPr="00CF5BB1" w:rsidRDefault="000730A6" w:rsidP="00FE746A">
            <w:pPr>
              <w:pStyle w:val="Normal2"/>
              <w:spacing w:after="360"/>
              <w:jc w:val="left"/>
              <w:rPr>
                <w:szCs w:val="24"/>
              </w:rPr>
            </w:pPr>
          </w:p>
        </w:tc>
        <w:tc>
          <w:tcPr>
            <w:tcW w:w="4536" w:type="dxa"/>
            <w:gridSpan w:val="2"/>
          </w:tcPr>
          <w:p w14:paraId="2DA5F931" w14:textId="68760B6A" w:rsidR="000730A6" w:rsidRPr="00CF5BB1" w:rsidRDefault="000730A6" w:rsidP="000730A6">
            <w:pPr>
              <w:pStyle w:val="Normal2"/>
              <w:spacing w:after="360"/>
              <w:jc w:val="center"/>
              <w:rPr>
                <w:szCs w:val="24"/>
              </w:rPr>
            </w:pPr>
          </w:p>
        </w:tc>
      </w:tr>
    </w:tbl>
    <w:p w14:paraId="7F37EC1C" w14:textId="7F0CF49A" w:rsidR="00D408DC" w:rsidRPr="00D408DC" w:rsidRDefault="00D408DC" w:rsidP="00D408DC">
      <w:pPr>
        <w:pStyle w:val="Normal2"/>
        <w:spacing w:after="360"/>
        <w:rPr>
          <w:b/>
          <w:bCs/>
          <w:szCs w:val="24"/>
        </w:rPr>
      </w:pPr>
      <w:r w:rsidRPr="00D408DC">
        <w:rPr>
          <w:b/>
          <w:bCs/>
          <w:szCs w:val="24"/>
        </w:rPr>
        <w:t xml:space="preserve">Right of appeal  </w:t>
      </w:r>
    </w:p>
    <w:p w14:paraId="1F69F079" w14:textId="558E3372" w:rsidR="00D408DC" w:rsidRPr="00D408DC" w:rsidRDefault="00D408DC" w:rsidP="00D408DC">
      <w:pPr>
        <w:pStyle w:val="Normal2"/>
        <w:spacing w:after="360"/>
        <w:rPr>
          <w:szCs w:val="24"/>
        </w:rPr>
      </w:pPr>
      <w:r w:rsidRPr="00D408DC">
        <w:rPr>
          <w:szCs w:val="24"/>
        </w:rPr>
        <w:t>Any party to this case has a right of appeal to the Court of Appeal on any point of law arising from th</w:t>
      </w:r>
      <w:r>
        <w:rPr>
          <w:szCs w:val="24"/>
        </w:rPr>
        <w:t>e</w:t>
      </w:r>
      <w:r w:rsidRPr="00D408DC">
        <w:rPr>
          <w:szCs w:val="24"/>
        </w:rPr>
        <w:t xml:space="preserve"> decision.  The right of appeal may be exercised only with permission. An application for permission to appeal to the Court of Appeal must be sent or delivered to the Tribunal so that it is received within 1 month after the date on which this decision is sent to the parties (unless an application for costs is made within 14 days of the decision being sent to the parties, in which case an application for permission to appeal must be made within 1 month of the date on which the Tribunal’s decision on costs is sent to the parties).  An application for permission to appeal must identify the decision of the Tribunal to which it relates, identify the alleged error or errors of law in the decision, and state the result the party making the application is seeking.  If the Tribunal refuses permission to appeal a further application may then be made to the Court of Appeal for permission.</w:t>
      </w:r>
    </w:p>
    <w:p w14:paraId="4F940E26" w14:textId="77777777" w:rsidR="00081F15" w:rsidRPr="00CF5BB1" w:rsidRDefault="00081F15" w:rsidP="00081F15">
      <w:pPr>
        <w:pStyle w:val="Normal2"/>
        <w:spacing w:after="360"/>
        <w:rPr>
          <w:szCs w:val="24"/>
        </w:rPr>
      </w:pPr>
    </w:p>
    <w:sectPr w:rsidR="00081F15" w:rsidRPr="00CF5BB1" w:rsidSect="00A244EB">
      <w:headerReference w:type="even" r:id="rId14"/>
      <w:headerReference w:type="default" r:id="rId15"/>
      <w:footerReference w:type="even" r:id="rId16"/>
      <w:footerReference w:type="default" r:id="rId17"/>
      <w:headerReference w:type="first" r:id="rId18"/>
      <w:footerReference w:type="first" r:id="rId19"/>
      <w:pgSz w:w="11909" w:h="16834" w:code="9"/>
      <w:pgMar w:top="1418" w:right="1276" w:bottom="1758" w:left="1560" w:header="113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6083B" w14:textId="77777777" w:rsidR="002E13C9" w:rsidRDefault="002E13C9" w:rsidP="00DC002B">
      <w:r>
        <w:separator/>
      </w:r>
    </w:p>
  </w:endnote>
  <w:endnote w:type="continuationSeparator" w:id="0">
    <w:p w14:paraId="77388F09" w14:textId="77777777" w:rsidR="002E13C9" w:rsidRDefault="002E13C9" w:rsidP="00DC002B">
      <w:r>
        <w:continuationSeparator/>
      </w:r>
    </w:p>
  </w:endnote>
  <w:endnote w:type="continuationNotice" w:id="1">
    <w:p w14:paraId="1C86E6BA" w14:textId="77777777" w:rsidR="002E13C9" w:rsidRDefault="002E1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353710"/>
      <w:docPartObj>
        <w:docPartGallery w:val="Page Numbers (Bottom of Page)"/>
        <w:docPartUnique/>
      </w:docPartObj>
    </w:sdtPr>
    <w:sdtEndPr>
      <w:rPr>
        <w:noProof/>
      </w:rPr>
    </w:sdtEndPr>
    <w:sdtContent>
      <w:p w14:paraId="2C5796EF" w14:textId="124B094F" w:rsidR="00AE4506" w:rsidRDefault="00AE45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61183" w14:textId="77777777" w:rsidR="00AE4506" w:rsidRDefault="00AE450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632661"/>
      <w:docPartObj>
        <w:docPartGallery w:val="Page Numbers (Bottom of Page)"/>
        <w:docPartUnique/>
      </w:docPartObj>
    </w:sdtPr>
    <w:sdtEndPr>
      <w:rPr>
        <w:noProof/>
      </w:rPr>
    </w:sdtEndPr>
    <w:sdtContent>
      <w:p w14:paraId="55286797" w14:textId="45D0A4FD" w:rsidR="00AE4506" w:rsidRDefault="00AE45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4492F" w14:textId="77777777" w:rsidR="00AE4506" w:rsidRDefault="00AE4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311F" w14:textId="77777777" w:rsidR="00AE4506" w:rsidRDefault="00AE4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52401C" w14:textId="77777777" w:rsidR="00AE4506" w:rsidRDefault="00AE45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50EF" w14:textId="77777777" w:rsidR="00AE4506" w:rsidRDefault="00AE4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AFEA767" w14:textId="77777777" w:rsidR="00AE4506" w:rsidRDefault="00AE45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C1A3" w14:textId="6B9B39B2" w:rsidR="00AE4506" w:rsidRDefault="00AE4506">
    <w:pPr>
      <w:pStyle w:val="Footer"/>
      <w:jc w:val="center"/>
      <w:rPr>
        <w:b/>
      </w:rPr>
    </w:pPr>
    <w:r>
      <w:rPr>
        <w: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0DE9" w14:textId="77777777" w:rsidR="002E13C9" w:rsidRDefault="002E13C9" w:rsidP="00DC002B">
      <w:r>
        <w:separator/>
      </w:r>
    </w:p>
  </w:footnote>
  <w:footnote w:type="continuationSeparator" w:id="0">
    <w:p w14:paraId="16161739" w14:textId="77777777" w:rsidR="002E13C9" w:rsidRDefault="002E13C9" w:rsidP="00DC002B">
      <w:r>
        <w:continuationSeparator/>
      </w:r>
    </w:p>
  </w:footnote>
  <w:footnote w:type="continuationNotice" w:id="1">
    <w:p w14:paraId="69946342" w14:textId="77777777" w:rsidR="002E13C9" w:rsidRDefault="002E1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2C23" w14:textId="77777777" w:rsidR="00AE4506" w:rsidRDefault="00AE4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3F277" w14:textId="77777777" w:rsidR="00AE4506" w:rsidRDefault="00AE4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5086" w14:textId="77777777" w:rsidR="00AE4506" w:rsidRDefault="00AE4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45029B"/>
    <w:multiLevelType w:val="hybridMultilevel"/>
    <w:tmpl w:val="9BFCB1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A73AFC"/>
    <w:multiLevelType w:val="hybridMultilevel"/>
    <w:tmpl w:val="ABE1C9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60227B2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3" w15:restartNumberingAfterBreak="0">
    <w:nsid w:val="00BE2C0A"/>
    <w:multiLevelType w:val="hybridMultilevel"/>
    <w:tmpl w:val="C262BF34"/>
    <w:lvl w:ilvl="0" w:tplc="B05E714C">
      <w:start w:val="1"/>
      <w:numFmt w:val="decimal"/>
      <w:lvlText w:val="%1."/>
      <w:lvlJc w:val="left"/>
      <w:pPr>
        <w:ind w:left="644" w:hanging="360"/>
      </w:pPr>
      <w:rPr>
        <w:rFonts w:hint="default"/>
        <w:b w:val="0"/>
        <w:bCs w:val="0"/>
        <w:i w:val="0"/>
        <w:iCs w:val="0"/>
      </w:rPr>
    </w:lvl>
    <w:lvl w:ilvl="1" w:tplc="83664244">
      <w:numFmt w:val="bullet"/>
      <w:lvlText w:val="•"/>
      <w:lvlJc w:val="left"/>
      <w:pPr>
        <w:ind w:left="1440" w:hanging="360"/>
      </w:pPr>
      <w:rPr>
        <w:rFonts w:ascii="Times New Roman" w:eastAsia="Times New Roman"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E23B1"/>
    <w:multiLevelType w:val="hybridMultilevel"/>
    <w:tmpl w:val="AA3ADC2E"/>
    <w:lvl w:ilvl="0" w:tplc="90661B70">
      <w:start w:val="25"/>
      <w:numFmt w:val="decimal"/>
      <w:lvlText w:val="%1."/>
      <w:lvlJc w:val="left"/>
      <w:pPr>
        <w:ind w:left="502" w:hanging="360"/>
      </w:pPr>
      <w:rPr>
        <w:rFonts w:hint="default"/>
        <w:i w:val="0"/>
        <w:iCs w:val="0"/>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0D355FE9"/>
    <w:multiLevelType w:val="hybridMultilevel"/>
    <w:tmpl w:val="26EC7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064ED"/>
    <w:multiLevelType w:val="hybridMultilevel"/>
    <w:tmpl w:val="B6AE9E4C"/>
    <w:lvl w:ilvl="0" w:tplc="01C2A800">
      <w:start w:val="1"/>
      <w:numFmt w:val="decimal"/>
      <w:lvlText w:val="(%1)"/>
      <w:lvlJc w:val="left"/>
      <w:pPr>
        <w:ind w:left="1845" w:hanging="40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09026DB"/>
    <w:multiLevelType w:val="hybridMultilevel"/>
    <w:tmpl w:val="5CA48D5C"/>
    <w:lvl w:ilvl="0" w:tplc="08090001">
      <w:start w:val="1"/>
      <w:numFmt w:val="bullet"/>
      <w:lvlText w:val=""/>
      <w:lvlJc w:val="left"/>
      <w:pPr>
        <w:ind w:left="3000" w:hanging="360"/>
      </w:pPr>
      <w:rPr>
        <w:rFonts w:ascii="Symbol" w:hAnsi="Symbol" w:hint="default"/>
      </w:rPr>
    </w:lvl>
    <w:lvl w:ilvl="1" w:tplc="08090003" w:tentative="1">
      <w:start w:val="1"/>
      <w:numFmt w:val="bullet"/>
      <w:lvlText w:val="o"/>
      <w:lvlJc w:val="left"/>
      <w:pPr>
        <w:ind w:left="3720" w:hanging="360"/>
      </w:pPr>
      <w:rPr>
        <w:rFonts w:ascii="Courier New" w:hAnsi="Courier New" w:cs="Courier New" w:hint="default"/>
      </w:rPr>
    </w:lvl>
    <w:lvl w:ilvl="2" w:tplc="08090005" w:tentative="1">
      <w:start w:val="1"/>
      <w:numFmt w:val="bullet"/>
      <w:lvlText w:val=""/>
      <w:lvlJc w:val="left"/>
      <w:pPr>
        <w:ind w:left="4440" w:hanging="360"/>
      </w:pPr>
      <w:rPr>
        <w:rFonts w:ascii="Wingdings" w:hAnsi="Wingdings" w:hint="default"/>
      </w:rPr>
    </w:lvl>
    <w:lvl w:ilvl="3" w:tplc="08090001" w:tentative="1">
      <w:start w:val="1"/>
      <w:numFmt w:val="bullet"/>
      <w:lvlText w:val=""/>
      <w:lvlJc w:val="left"/>
      <w:pPr>
        <w:ind w:left="5160" w:hanging="360"/>
      </w:pPr>
      <w:rPr>
        <w:rFonts w:ascii="Symbol" w:hAnsi="Symbol" w:hint="default"/>
      </w:rPr>
    </w:lvl>
    <w:lvl w:ilvl="4" w:tplc="08090003" w:tentative="1">
      <w:start w:val="1"/>
      <w:numFmt w:val="bullet"/>
      <w:lvlText w:val="o"/>
      <w:lvlJc w:val="left"/>
      <w:pPr>
        <w:ind w:left="5880" w:hanging="360"/>
      </w:pPr>
      <w:rPr>
        <w:rFonts w:ascii="Courier New" w:hAnsi="Courier New" w:cs="Courier New" w:hint="default"/>
      </w:rPr>
    </w:lvl>
    <w:lvl w:ilvl="5" w:tplc="08090005" w:tentative="1">
      <w:start w:val="1"/>
      <w:numFmt w:val="bullet"/>
      <w:lvlText w:val=""/>
      <w:lvlJc w:val="left"/>
      <w:pPr>
        <w:ind w:left="6600" w:hanging="360"/>
      </w:pPr>
      <w:rPr>
        <w:rFonts w:ascii="Wingdings" w:hAnsi="Wingdings" w:hint="default"/>
      </w:rPr>
    </w:lvl>
    <w:lvl w:ilvl="6" w:tplc="08090001" w:tentative="1">
      <w:start w:val="1"/>
      <w:numFmt w:val="bullet"/>
      <w:lvlText w:val=""/>
      <w:lvlJc w:val="left"/>
      <w:pPr>
        <w:ind w:left="7320" w:hanging="360"/>
      </w:pPr>
      <w:rPr>
        <w:rFonts w:ascii="Symbol" w:hAnsi="Symbol" w:hint="default"/>
      </w:rPr>
    </w:lvl>
    <w:lvl w:ilvl="7" w:tplc="08090003" w:tentative="1">
      <w:start w:val="1"/>
      <w:numFmt w:val="bullet"/>
      <w:lvlText w:val="o"/>
      <w:lvlJc w:val="left"/>
      <w:pPr>
        <w:ind w:left="8040" w:hanging="360"/>
      </w:pPr>
      <w:rPr>
        <w:rFonts w:ascii="Courier New" w:hAnsi="Courier New" w:cs="Courier New" w:hint="default"/>
      </w:rPr>
    </w:lvl>
    <w:lvl w:ilvl="8" w:tplc="08090005" w:tentative="1">
      <w:start w:val="1"/>
      <w:numFmt w:val="bullet"/>
      <w:lvlText w:val=""/>
      <w:lvlJc w:val="left"/>
      <w:pPr>
        <w:ind w:left="8760" w:hanging="360"/>
      </w:pPr>
      <w:rPr>
        <w:rFonts w:ascii="Wingdings" w:hAnsi="Wingdings" w:hint="default"/>
      </w:rPr>
    </w:lvl>
  </w:abstractNum>
  <w:abstractNum w:abstractNumId="8" w15:restartNumberingAfterBreak="0">
    <w:nsid w:val="1CA21EF7"/>
    <w:multiLevelType w:val="hybridMultilevel"/>
    <w:tmpl w:val="5B3469D4"/>
    <w:lvl w:ilvl="0" w:tplc="60643E4C">
      <w:start w:val="3"/>
      <w:numFmt w:val="decimal"/>
      <w:lvlText w:val="%1."/>
      <w:lvlJc w:val="left"/>
      <w:pPr>
        <w:ind w:left="360" w:hanging="360"/>
      </w:pPr>
      <w:rPr>
        <w:rFonts w:hint="default"/>
        <w:b w:val="0"/>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F8A2A47"/>
    <w:multiLevelType w:val="hybridMultilevel"/>
    <w:tmpl w:val="DF8CAF22"/>
    <w:lvl w:ilvl="0" w:tplc="B05E714C">
      <w:start w:val="17"/>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8652D4"/>
    <w:multiLevelType w:val="hybridMultilevel"/>
    <w:tmpl w:val="9ADEA408"/>
    <w:lvl w:ilvl="0" w:tplc="FB92AAEC">
      <w:start w:val="1"/>
      <w:numFmt w:val="lowerLetter"/>
      <w:lvlText w:val="(%1)"/>
      <w:lvlJc w:val="left"/>
      <w:pPr>
        <w:ind w:left="192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3C86A76"/>
    <w:multiLevelType w:val="hybridMultilevel"/>
    <w:tmpl w:val="BD480D84"/>
    <w:lvl w:ilvl="0" w:tplc="55B6A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F6B4C27"/>
    <w:multiLevelType w:val="hybridMultilevel"/>
    <w:tmpl w:val="83D27816"/>
    <w:lvl w:ilvl="0" w:tplc="AE3CCD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176369C"/>
    <w:multiLevelType w:val="hybridMultilevel"/>
    <w:tmpl w:val="D5049B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1E96B6E"/>
    <w:multiLevelType w:val="hybridMultilevel"/>
    <w:tmpl w:val="4E3A9AC4"/>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CE3095"/>
    <w:multiLevelType w:val="hybridMultilevel"/>
    <w:tmpl w:val="185CCD52"/>
    <w:lvl w:ilvl="0" w:tplc="B05E714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C32EE"/>
    <w:multiLevelType w:val="hybridMultilevel"/>
    <w:tmpl w:val="8CD43662"/>
    <w:lvl w:ilvl="0" w:tplc="7D20C8D8">
      <w:start w:val="1"/>
      <w:numFmt w:val="lowerLetter"/>
      <w:lvlText w:val="(%1)"/>
      <w:lvlJc w:val="left"/>
      <w:pPr>
        <w:ind w:left="1539" w:hanging="360"/>
      </w:pPr>
      <w:rPr>
        <w:rFonts w:hint="default"/>
      </w:rPr>
    </w:lvl>
    <w:lvl w:ilvl="1" w:tplc="08090019" w:tentative="1">
      <w:start w:val="1"/>
      <w:numFmt w:val="lowerLetter"/>
      <w:lvlText w:val="%2."/>
      <w:lvlJc w:val="left"/>
      <w:pPr>
        <w:ind w:left="2259" w:hanging="360"/>
      </w:pPr>
    </w:lvl>
    <w:lvl w:ilvl="2" w:tplc="0809001B" w:tentative="1">
      <w:start w:val="1"/>
      <w:numFmt w:val="lowerRoman"/>
      <w:lvlText w:val="%3."/>
      <w:lvlJc w:val="right"/>
      <w:pPr>
        <w:ind w:left="2979" w:hanging="180"/>
      </w:pPr>
    </w:lvl>
    <w:lvl w:ilvl="3" w:tplc="0809000F" w:tentative="1">
      <w:start w:val="1"/>
      <w:numFmt w:val="decimal"/>
      <w:lvlText w:val="%4."/>
      <w:lvlJc w:val="left"/>
      <w:pPr>
        <w:ind w:left="3699" w:hanging="360"/>
      </w:pPr>
    </w:lvl>
    <w:lvl w:ilvl="4" w:tplc="08090019" w:tentative="1">
      <w:start w:val="1"/>
      <w:numFmt w:val="lowerLetter"/>
      <w:lvlText w:val="%5."/>
      <w:lvlJc w:val="left"/>
      <w:pPr>
        <w:ind w:left="4419" w:hanging="360"/>
      </w:pPr>
    </w:lvl>
    <w:lvl w:ilvl="5" w:tplc="0809001B" w:tentative="1">
      <w:start w:val="1"/>
      <w:numFmt w:val="lowerRoman"/>
      <w:lvlText w:val="%6."/>
      <w:lvlJc w:val="right"/>
      <w:pPr>
        <w:ind w:left="5139" w:hanging="180"/>
      </w:pPr>
    </w:lvl>
    <w:lvl w:ilvl="6" w:tplc="0809000F" w:tentative="1">
      <w:start w:val="1"/>
      <w:numFmt w:val="decimal"/>
      <w:lvlText w:val="%7."/>
      <w:lvlJc w:val="left"/>
      <w:pPr>
        <w:ind w:left="5859" w:hanging="360"/>
      </w:pPr>
    </w:lvl>
    <w:lvl w:ilvl="7" w:tplc="08090019" w:tentative="1">
      <w:start w:val="1"/>
      <w:numFmt w:val="lowerLetter"/>
      <w:lvlText w:val="%8."/>
      <w:lvlJc w:val="left"/>
      <w:pPr>
        <w:ind w:left="6579" w:hanging="360"/>
      </w:pPr>
    </w:lvl>
    <w:lvl w:ilvl="8" w:tplc="0809001B" w:tentative="1">
      <w:start w:val="1"/>
      <w:numFmt w:val="lowerRoman"/>
      <w:lvlText w:val="%9."/>
      <w:lvlJc w:val="right"/>
      <w:pPr>
        <w:ind w:left="7299" w:hanging="180"/>
      </w:pPr>
    </w:lvl>
  </w:abstractNum>
  <w:abstractNum w:abstractNumId="17" w15:restartNumberingAfterBreak="0">
    <w:nsid w:val="3BE92085"/>
    <w:multiLevelType w:val="hybridMultilevel"/>
    <w:tmpl w:val="6D6437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DB456F3"/>
    <w:multiLevelType w:val="hybridMultilevel"/>
    <w:tmpl w:val="67127D6E"/>
    <w:lvl w:ilvl="0" w:tplc="C60649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61D038C"/>
    <w:multiLevelType w:val="hybridMultilevel"/>
    <w:tmpl w:val="AD6A4DEA"/>
    <w:lvl w:ilvl="0" w:tplc="73587F00">
      <w:start w:val="2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15:restartNumberingAfterBreak="0">
    <w:nsid w:val="47541859"/>
    <w:multiLevelType w:val="hybridMultilevel"/>
    <w:tmpl w:val="175C6C6A"/>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764B4"/>
    <w:multiLevelType w:val="hybridMultilevel"/>
    <w:tmpl w:val="56E2890C"/>
    <w:lvl w:ilvl="0" w:tplc="0809000F">
      <w:start w:val="20"/>
      <w:numFmt w:val="decimal"/>
      <w:lvlText w:val="%1."/>
      <w:lvlJc w:val="left"/>
      <w:pPr>
        <w:ind w:left="220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874851"/>
    <w:multiLevelType w:val="hybridMultilevel"/>
    <w:tmpl w:val="B2A8863A"/>
    <w:lvl w:ilvl="0" w:tplc="F5CC505E">
      <w:start w:val="25"/>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64897"/>
    <w:multiLevelType w:val="hybridMultilevel"/>
    <w:tmpl w:val="B204AFE6"/>
    <w:lvl w:ilvl="0" w:tplc="0809000F">
      <w:start w:val="32"/>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D5558"/>
    <w:multiLevelType w:val="hybridMultilevel"/>
    <w:tmpl w:val="59CA157E"/>
    <w:lvl w:ilvl="0" w:tplc="B05E714C">
      <w:start w:val="19"/>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023C82"/>
    <w:multiLevelType w:val="hybridMultilevel"/>
    <w:tmpl w:val="EC24C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180968"/>
    <w:multiLevelType w:val="hybridMultilevel"/>
    <w:tmpl w:val="6708024A"/>
    <w:lvl w:ilvl="0" w:tplc="C0B095E8">
      <w:start w:val="26"/>
      <w:numFmt w:val="decimal"/>
      <w:lvlText w:val="%1."/>
      <w:lvlJc w:val="left"/>
      <w:pPr>
        <w:ind w:left="360" w:hanging="360"/>
      </w:pPr>
      <w:rPr>
        <w:rFonts w:hint="default"/>
        <w:i w:val="0"/>
        <w:iCs w:val="0"/>
      </w:rPr>
    </w:lvl>
    <w:lvl w:ilvl="1" w:tplc="08090019" w:tentative="1">
      <w:start w:val="1"/>
      <w:numFmt w:val="lowerLetter"/>
      <w:lvlText w:val="%2."/>
      <w:lvlJc w:val="left"/>
      <w:pPr>
        <w:ind w:left="1298" w:hanging="360"/>
      </w:pPr>
    </w:lvl>
    <w:lvl w:ilvl="2" w:tplc="0809001B">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7" w15:restartNumberingAfterBreak="0">
    <w:nsid w:val="6D191B3F"/>
    <w:multiLevelType w:val="hybridMultilevel"/>
    <w:tmpl w:val="B54CCDEE"/>
    <w:lvl w:ilvl="0" w:tplc="812E3B2E">
      <w:start w:val="1"/>
      <w:numFmt w:val="lowerLetter"/>
      <w:lvlText w:val="(%1)"/>
      <w:lvlJc w:val="left"/>
      <w:pPr>
        <w:ind w:left="2900" w:hanging="390"/>
      </w:pPr>
      <w:rPr>
        <w:rFonts w:hint="default"/>
      </w:rPr>
    </w:lvl>
    <w:lvl w:ilvl="1" w:tplc="08090019" w:tentative="1">
      <w:start w:val="1"/>
      <w:numFmt w:val="lowerLetter"/>
      <w:lvlText w:val="%2."/>
      <w:lvlJc w:val="left"/>
      <w:pPr>
        <w:ind w:left="3590" w:hanging="360"/>
      </w:pPr>
    </w:lvl>
    <w:lvl w:ilvl="2" w:tplc="0809001B" w:tentative="1">
      <w:start w:val="1"/>
      <w:numFmt w:val="lowerRoman"/>
      <w:lvlText w:val="%3."/>
      <w:lvlJc w:val="right"/>
      <w:pPr>
        <w:ind w:left="4310" w:hanging="180"/>
      </w:pPr>
    </w:lvl>
    <w:lvl w:ilvl="3" w:tplc="0809000F" w:tentative="1">
      <w:start w:val="1"/>
      <w:numFmt w:val="decimal"/>
      <w:lvlText w:val="%4."/>
      <w:lvlJc w:val="left"/>
      <w:pPr>
        <w:ind w:left="5030" w:hanging="360"/>
      </w:pPr>
    </w:lvl>
    <w:lvl w:ilvl="4" w:tplc="08090019" w:tentative="1">
      <w:start w:val="1"/>
      <w:numFmt w:val="lowerLetter"/>
      <w:lvlText w:val="%5."/>
      <w:lvlJc w:val="left"/>
      <w:pPr>
        <w:ind w:left="5750" w:hanging="360"/>
      </w:pPr>
    </w:lvl>
    <w:lvl w:ilvl="5" w:tplc="0809001B" w:tentative="1">
      <w:start w:val="1"/>
      <w:numFmt w:val="lowerRoman"/>
      <w:lvlText w:val="%6."/>
      <w:lvlJc w:val="right"/>
      <w:pPr>
        <w:ind w:left="6470" w:hanging="180"/>
      </w:pPr>
    </w:lvl>
    <w:lvl w:ilvl="6" w:tplc="0809000F" w:tentative="1">
      <w:start w:val="1"/>
      <w:numFmt w:val="decimal"/>
      <w:lvlText w:val="%7."/>
      <w:lvlJc w:val="left"/>
      <w:pPr>
        <w:ind w:left="7190" w:hanging="360"/>
      </w:pPr>
    </w:lvl>
    <w:lvl w:ilvl="7" w:tplc="08090019" w:tentative="1">
      <w:start w:val="1"/>
      <w:numFmt w:val="lowerLetter"/>
      <w:lvlText w:val="%8."/>
      <w:lvlJc w:val="left"/>
      <w:pPr>
        <w:ind w:left="7910" w:hanging="360"/>
      </w:pPr>
    </w:lvl>
    <w:lvl w:ilvl="8" w:tplc="0809001B" w:tentative="1">
      <w:start w:val="1"/>
      <w:numFmt w:val="lowerRoman"/>
      <w:lvlText w:val="%9."/>
      <w:lvlJc w:val="right"/>
      <w:pPr>
        <w:ind w:left="8630" w:hanging="180"/>
      </w:pPr>
    </w:lvl>
  </w:abstractNum>
  <w:abstractNum w:abstractNumId="28" w15:restartNumberingAfterBreak="0">
    <w:nsid w:val="72B6031F"/>
    <w:multiLevelType w:val="hybridMultilevel"/>
    <w:tmpl w:val="1FFEC030"/>
    <w:lvl w:ilvl="0" w:tplc="FDAA30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E22632"/>
    <w:multiLevelType w:val="hybridMultilevel"/>
    <w:tmpl w:val="16725B9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0" w15:restartNumberingAfterBreak="0">
    <w:nsid w:val="74035DE8"/>
    <w:multiLevelType w:val="hybridMultilevel"/>
    <w:tmpl w:val="CB143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1CCAC2C">
      <w:numFmt w:val="bullet"/>
      <w:lvlText w:val="•"/>
      <w:lvlJc w:val="left"/>
      <w:pPr>
        <w:ind w:left="2160" w:hanging="360"/>
      </w:pPr>
      <w:rPr>
        <w:lang w:val="en-GB" w:eastAsia="en-GB" w:bidi="en-GB"/>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32" w15:restartNumberingAfterBreak="0">
    <w:nsid w:val="769D39C7"/>
    <w:multiLevelType w:val="hybridMultilevel"/>
    <w:tmpl w:val="0DA6F1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E235260"/>
    <w:multiLevelType w:val="hybridMultilevel"/>
    <w:tmpl w:val="A96C0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F388E00"/>
    <w:multiLevelType w:val="hybridMultilevel"/>
    <w:tmpl w:val="C8F337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1"/>
  </w:num>
  <w:num w:numId="3">
    <w:abstractNumId w:val="3"/>
  </w:num>
  <w:num w:numId="4">
    <w:abstractNumId w:val="27"/>
  </w:num>
  <w:num w:numId="5">
    <w:abstractNumId w:val="10"/>
  </w:num>
  <w:num w:numId="6">
    <w:abstractNumId w:val="34"/>
  </w:num>
  <w:num w:numId="7">
    <w:abstractNumId w:val="1"/>
  </w:num>
  <w:num w:numId="8">
    <w:abstractNumId w:val="0"/>
  </w:num>
  <w:num w:numId="9">
    <w:abstractNumId w:val="11"/>
  </w:num>
  <w:num w:numId="10">
    <w:abstractNumId w:val="8"/>
  </w:num>
  <w:num w:numId="11">
    <w:abstractNumId w:val="16"/>
  </w:num>
  <w:num w:numId="12">
    <w:abstractNumId w:val="5"/>
  </w:num>
  <w:num w:numId="13">
    <w:abstractNumId w:val="28"/>
  </w:num>
  <w:num w:numId="14">
    <w:abstractNumId w:val="18"/>
  </w:num>
  <w:num w:numId="15">
    <w:abstractNumId w:val="20"/>
  </w:num>
  <w:num w:numId="16">
    <w:abstractNumId w:val="21"/>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0"/>
  </w:num>
  <w:num w:numId="21">
    <w:abstractNumId w:val="13"/>
  </w:num>
  <w:num w:numId="22">
    <w:abstractNumId w:val="32"/>
  </w:num>
  <w:num w:numId="23">
    <w:abstractNumId w:val="29"/>
  </w:num>
  <w:num w:numId="24">
    <w:abstractNumId w:val="7"/>
  </w:num>
  <w:num w:numId="25">
    <w:abstractNumId w:val="17"/>
  </w:num>
  <w:num w:numId="26">
    <w:abstractNumId w:val="6"/>
  </w:num>
  <w:num w:numId="27">
    <w:abstractNumId w:val="33"/>
  </w:num>
  <w:num w:numId="28">
    <w:abstractNumId w:val="24"/>
  </w:num>
  <w:num w:numId="29">
    <w:abstractNumId w:val="19"/>
  </w:num>
  <w:num w:numId="30">
    <w:abstractNumId w:val="26"/>
  </w:num>
  <w:num w:numId="31">
    <w:abstractNumId w:val="14"/>
  </w:num>
  <w:num w:numId="32">
    <w:abstractNumId w:val="12"/>
  </w:num>
  <w:num w:numId="33">
    <w:abstractNumId w:val="9"/>
  </w:num>
  <w:num w:numId="34">
    <w:abstractNumId w:val="15"/>
  </w:num>
  <w:num w:numId="35">
    <w:abstractNumId w:val="22"/>
  </w:num>
  <w:num w:numId="36">
    <w:abstractNumId w:val="23"/>
  </w:num>
  <w:num w:numId="3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0" w:val="Najib Afsar"/>
    <w:docVar w:name="1" w:val="the Ft-T"/>
    <w:docVar w:name="10" w:val="Mr Mahmood"/>
    <w:docVar w:name="11" w:val="Carltons"/>
    <w:docVar w:name="12" w:val="Vicarage Court"/>
    <w:docVar w:name="13" w:val="Ms Tromans"/>
    <w:docVar w:name="2" w:val="this Tribunal"/>
    <w:docVar w:name="3" w:val="Judge Taylor"/>
    <w:docVar w:name="4" w:val="SKPM"/>
    <w:docVar w:name="5" w:val="the Property"/>
    <w:docVar w:name="6" w:val="Mr Byrne"/>
    <w:docVar w:name="7" w:val="the Sale Agreement"/>
    <w:docVar w:name="8" w:val="Ms Tromans"/>
    <w:docVar w:name="9" w:val="Shakeel Afsar"/>
  </w:docVars>
  <w:rsids>
    <w:rsidRoot w:val="001805B2"/>
    <w:rsid w:val="000003F4"/>
    <w:rsid w:val="00000D6C"/>
    <w:rsid w:val="00003C32"/>
    <w:rsid w:val="0000424A"/>
    <w:rsid w:val="00004B3C"/>
    <w:rsid w:val="00005C64"/>
    <w:rsid w:val="00005DB2"/>
    <w:rsid w:val="000104C0"/>
    <w:rsid w:val="00010A38"/>
    <w:rsid w:val="00011310"/>
    <w:rsid w:val="0001137C"/>
    <w:rsid w:val="000113A1"/>
    <w:rsid w:val="0001140F"/>
    <w:rsid w:val="00011A65"/>
    <w:rsid w:val="000122C6"/>
    <w:rsid w:val="00012510"/>
    <w:rsid w:val="00012C3B"/>
    <w:rsid w:val="00013CAB"/>
    <w:rsid w:val="000144E4"/>
    <w:rsid w:val="00014787"/>
    <w:rsid w:val="0001514C"/>
    <w:rsid w:val="00015533"/>
    <w:rsid w:val="0001563A"/>
    <w:rsid w:val="00015F55"/>
    <w:rsid w:val="00015FDC"/>
    <w:rsid w:val="000200EA"/>
    <w:rsid w:val="00020178"/>
    <w:rsid w:val="000202DC"/>
    <w:rsid w:val="000204AD"/>
    <w:rsid w:val="00020960"/>
    <w:rsid w:val="000210E6"/>
    <w:rsid w:val="00022483"/>
    <w:rsid w:val="0002326C"/>
    <w:rsid w:val="000233FC"/>
    <w:rsid w:val="00024A67"/>
    <w:rsid w:val="00025747"/>
    <w:rsid w:val="000305D5"/>
    <w:rsid w:val="00030BA7"/>
    <w:rsid w:val="00032957"/>
    <w:rsid w:val="00033AA8"/>
    <w:rsid w:val="00033E0E"/>
    <w:rsid w:val="00034768"/>
    <w:rsid w:val="00034CFA"/>
    <w:rsid w:val="000351D1"/>
    <w:rsid w:val="00041037"/>
    <w:rsid w:val="00041968"/>
    <w:rsid w:val="000423C2"/>
    <w:rsid w:val="00042B94"/>
    <w:rsid w:val="00042CCB"/>
    <w:rsid w:val="000436C8"/>
    <w:rsid w:val="000443C1"/>
    <w:rsid w:val="00045332"/>
    <w:rsid w:val="000457B4"/>
    <w:rsid w:val="000475B2"/>
    <w:rsid w:val="000519FD"/>
    <w:rsid w:val="0005380A"/>
    <w:rsid w:val="000547EB"/>
    <w:rsid w:val="000551E1"/>
    <w:rsid w:val="00056B1A"/>
    <w:rsid w:val="0006007C"/>
    <w:rsid w:val="000602F6"/>
    <w:rsid w:val="000606C9"/>
    <w:rsid w:val="000608C5"/>
    <w:rsid w:val="00062CBD"/>
    <w:rsid w:val="000634C0"/>
    <w:rsid w:val="00063861"/>
    <w:rsid w:val="00064920"/>
    <w:rsid w:val="00064FF6"/>
    <w:rsid w:val="00066E1F"/>
    <w:rsid w:val="0006721F"/>
    <w:rsid w:val="00070290"/>
    <w:rsid w:val="0007281D"/>
    <w:rsid w:val="00072BEC"/>
    <w:rsid w:val="000730A6"/>
    <w:rsid w:val="000733FA"/>
    <w:rsid w:val="00073993"/>
    <w:rsid w:val="0007594E"/>
    <w:rsid w:val="00076672"/>
    <w:rsid w:val="00077018"/>
    <w:rsid w:val="00077624"/>
    <w:rsid w:val="00077C51"/>
    <w:rsid w:val="00077D3A"/>
    <w:rsid w:val="0008031F"/>
    <w:rsid w:val="00080B26"/>
    <w:rsid w:val="0008104E"/>
    <w:rsid w:val="00081F15"/>
    <w:rsid w:val="00083702"/>
    <w:rsid w:val="00083E44"/>
    <w:rsid w:val="00085A47"/>
    <w:rsid w:val="00087724"/>
    <w:rsid w:val="000900B2"/>
    <w:rsid w:val="000909EF"/>
    <w:rsid w:val="00090DE9"/>
    <w:rsid w:val="00090E22"/>
    <w:rsid w:val="000916EB"/>
    <w:rsid w:val="0009331C"/>
    <w:rsid w:val="00093ECE"/>
    <w:rsid w:val="00094D3E"/>
    <w:rsid w:val="0009640E"/>
    <w:rsid w:val="0009669E"/>
    <w:rsid w:val="00096CF7"/>
    <w:rsid w:val="00096E8B"/>
    <w:rsid w:val="000972B7"/>
    <w:rsid w:val="000A043C"/>
    <w:rsid w:val="000A21D6"/>
    <w:rsid w:val="000A26BD"/>
    <w:rsid w:val="000A27C2"/>
    <w:rsid w:val="000A42A8"/>
    <w:rsid w:val="000A54B9"/>
    <w:rsid w:val="000A56DD"/>
    <w:rsid w:val="000A659A"/>
    <w:rsid w:val="000A69C9"/>
    <w:rsid w:val="000B04DF"/>
    <w:rsid w:val="000B19DF"/>
    <w:rsid w:val="000B391B"/>
    <w:rsid w:val="000B4787"/>
    <w:rsid w:val="000B4B07"/>
    <w:rsid w:val="000B4C24"/>
    <w:rsid w:val="000B55A1"/>
    <w:rsid w:val="000B6129"/>
    <w:rsid w:val="000B621D"/>
    <w:rsid w:val="000B67B5"/>
    <w:rsid w:val="000B721F"/>
    <w:rsid w:val="000C0F3D"/>
    <w:rsid w:val="000C12B8"/>
    <w:rsid w:val="000C1611"/>
    <w:rsid w:val="000C203C"/>
    <w:rsid w:val="000C273C"/>
    <w:rsid w:val="000C2B14"/>
    <w:rsid w:val="000C39EB"/>
    <w:rsid w:val="000C4191"/>
    <w:rsid w:val="000C5817"/>
    <w:rsid w:val="000C59A3"/>
    <w:rsid w:val="000C72D1"/>
    <w:rsid w:val="000C76BC"/>
    <w:rsid w:val="000C785C"/>
    <w:rsid w:val="000C7A39"/>
    <w:rsid w:val="000C7C56"/>
    <w:rsid w:val="000D12FC"/>
    <w:rsid w:val="000D150A"/>
    <w:rsid w:val="000D1EA5"/>
    <w:rsid w:val="000D3C97"/>
    <w:rsid w:val="000D42CE"/>
    <w:rsid w:val="000D4748"/>
    <w:rsid w:val="000D58A6"/>
    <w:rsid w:val="000D6176"/>
    <w:rsid w:val="000D67C7"/>
    <w:rsid w:val="000D6B27"/>
    <w:rsid w:val="000D6FD8"/>
    <w:rsid w:val="000E0327"/>
    <w:rsid w:val="000E1CDE"/>
    <w:rsid w:val="000E3025"/>
    <w:rsid w:val="000E3BF0"/>
    <w:rsid w:val="000E5E0F"/>
    <w:rsid w:val="000E61FB"/>
    <w:rsid w:val="000E675F"/>
    <w:rsid w:val="000E7581"/>
    <w:rsid w:val="000F0219"/>
    <w:rsid w:val="000F209B"/>
    <w:rsid w:val="000F234F"/>
    <w:rsid w:val="000F2C8F"/>
    <w:rsid w:val="000F3F81"/>
    <w:rsid w:val="000F4605"/>
    <w:rsid w:val="000F4CEF"/>
    <w:rsid w:val="000F4FF4"/>
    <w:rsid w:val="000F5984"/>
    <w:rsid w:val="000F6043"/>
    <w:rsid w:val="000F641C"/>
    <w:rsid w:val="000F672D"/>
    <w:rsid w:val="000F6D08"/>
    <w:rsid w:val="000F76F6"/>
    <w:rsid w:val="000F7708"/>
    <w:rsid w:val="000F7802"/>
    <w:rsid w:val="000F79AC"/>
    <w:rsid w:val="000F7AAB"/>
    <w:rsid w:val="000F7DA8"/>
    <w:rsid w:val="001017A5"/>
    <w:rsid w:val="001019F3"/>
    <w:rsid w:val="00101AD1"/>
    <w:rsid w:val="00101DBE"/>
    <w:rsid w:val="001023B5"/>
    <w:rsid w:val="001034E1"/>
    <w:rsid w:val="00103D56"/>
    <w:rsid w:val="00104CD4"/>
    <w:rsid w:val="00104D10"/>
    <w:rsid w:val="0010594F"/>
    <w:rsid w:val="0010696B"/>
    <w:rsid w:val="00110113"/>
    <w:rsid w:val="00110405"/>
    <w:rsid w:val="001105B7"/>
    <w:rsid w:val="00111CD1"/>
    <w:rsid w:val="00112C29"/>
    <w:rsid w:val="00112C63"/>
    <w:rsid w:val="001156D8"/>
    <w:rsid w:val="001164C8"/>
    <w:rsid w:val="00117874"/>
    <w:rsid w:val="00120B34"/>
    <w:rsid w:val="001215B2"/>
    <w:rsid w:val="001225B3"/>
    <w:rsid w:val="00122F6E"/>
    <w:rsid w:val="00123A60"/>
    <w:rsid w:val="00124114"/>
    <w:rsid w:val="00124B01"/>
    <w:rsid w:val="00125A20"/>
    <w:rsid w:val="00125B99"/>
    <w:rsid w:val="00126331"/>
    <w:rsid w:val="001271C6"/>
    <w:rsid w:val="00131006"/>
    <w:rsid w:val="00131E10"/>
    <w:rsid w:val="0013320F"/>
    <w:rsid w:val="0013369D"/>
    <w:rsid w:val="00133B91"/>
    <w:rsid w:val="00133C1B"/>
    <w:rsid w:val="00133E3B"/>
    <w:rsid w:val="00133ED6"/>
    <w:rsid w:val="00134011"/>
    <w:rsid w:val="001348D9"/>
    <w:rsid w:val="00135214"/>
    <w:rsid w:val="001356D3"/>
    <w:rsid w:val="00135956"/>
    <w:rsid w:val="0013609C"/>
    <w:rsid w:val="00136552"/>
    <w:rsid w:val="00140958"/>
    <w:rsid w:val="001413C3"/>
    <w:rsid w:val="00141BFB"/>
    <w:rsid w:val="0014245D"/>
    <w:rsid w:val="00142A47"/>
    <w:rsid w:val="001430C1"/>
    <w:rsid w:val="00143517"/>
    <w:rsid w:val="0014396D"/>
    <w:rsid w:val="00143AC8"/>
    <w:rsid w:val="00144843"/>
    <w:rsid w:val="00144E78"/>
    <w:rsid w:val="001458FB"/>
    <w:rsid w:val="00145A7A"/>
    <w:rsid w:val="00146464"/>
    <w:rsid w:val="00147379"/>
    <w:rsid w:val="00147699"/>
    <w:rsid w:val="001477A4"/>
    <w:rsid w:val="00147EA9"/>
    <w:rsid w:val="00150387"/>
    <w:rsid w:val="00150528"/>
    <w:rsid w:val="00150F4B"/>
    <w:rsid w:val="00153D0C"/>
    <w:rsid w:val="00153F17"/>
    <w:rsid w:val="00154839"/>
    <w:rsid w:val="00154A80"/>
    <w:rsid w:val="00155CAC"/>
    <w:rsid w:val="00155E91"/>
    <w:rsid w:val="00156AAE"/>
    <w:rsid w:val="00157B18"/>
    <w:rsid w:val="00157E05"/>
    <w:rsid w:val="00160711"/>
    <w:rsid w:val="00161072"/>
    <w:rsid w:val="00163BA5"/>
    <w:rsid w:val="0016408C"/>
    <w:rsid w:val="00167103"/>
    <w:rsid w:val="00170B7B"/>
    <w:rsid w:val="00171131"/>
    <w:rsid w:val="0017235A"/>
    <w:rsid w:val="00172F08"/>
    <w:rsid w:val="001743B6"/>
    <w:rsid w:val="00175018"/>
    <w:rsid w:val="00175107"/>
    <w:rsid w:val="0017522B"/>
    <w:rsid w:val="00175D23"/>
    <w:rsid w:val="00176FFF"/>
    <w:rsid w:val="00177442"/>
    <w:rsid w:val="00177FC1"/>
    <w:rsid w:val="001805B2"/>
    <w:rsid w:val="00180FC0"/>
    <w:rsid w:val="00181A2E"/>
    <w:rsid w:val="00181F31"/>
    <w:rsid w:val="00182E02"/>
    <w:rsid w:val="0018375F"/>
    <w:rsid w:val="001839EE"/>
    <w:rsid w:val="00184031"/>
    <w:rsid w:val="001841D4"/>
    <w:rsid w:val="001852A4"/>
    <w:rsid w:val="0018549D"/>
    <w:rsid w:val="001857A4"/>
    <w:rsid w:val="00185D10"/>
    <w:rsid w:val="00186F88"/>
    <w:rsid w:val="00192CCA"/>
    <w:rsid w:val="00193941"/>
    <w:rsid w:val="00194634"/>
    <w:rsid w:val="00194B7C"/>
    <w:rsid w:val="00194B9F"/>
    <w:rsid w:val="001955B9"/>
    <w:rsid w:val="00195900"/>
    <w:rsid w:val="00195B8F"/>
    <w:rsid w:val="0019605C"/>
    <w:rsid w:val="00196156"/>
    <w:rsid w:val="001968DC"/>
    <w:rsid w:val="001969AC"/>
    <w:rsid w:val="00197727"/>
    <w:rsid w:val="001A027C"/>
    <w:rsid w:val="001A1955"/>
    <w:rsid w:val="001A2190"/>
    <w:rsid w:val="001A26E8"/>
    <w:rsid w:val="001A4465"/>
    <w:rsid w:val="001A44BD"/>
    <w:rsid w:val="001A6023"/>
    <w:rsid w:val="001A69C7"/>
    <w:rsid w:val="001B014A"/>
    <w:rsid w:val="001B1047"/>
    <w:rsid w:val="001B1EC2"/>
    <w:rsid w:val="001B2265"/>
    <w:rsid w:val="001B43F1"/>
    <w:rsid w:val="001B4519"/>
    <w:rsid w:val="001B4F9F"/>
    <w:rsid w:val="001B5125"/>
    <w:rsid w:val="001B5483"/>
    <w:rsid w:val="001B5AFC"/>
    <w:rsid w:val="001B6898"/>
    <w:rsid w:val="001B7213"/>
    <w:rsid w:val="001C09E8"/>
    <w:rsid w:val="001C0EA0"/>
    <w:rsid w:val="001C0F51"/>
    <w:rsid w:val="001C1144"/>
    <w:rsid w:val="001C2202"/>
    <w:rsid w:val="001C2F75"/>
    <w:rsid w:val="001C41E2"/>
    <w:rsid w:val="001C480A"/>
    <w:rsid w:val="001C4D02"/>
    <w:rsid w:val="001C7BE7"/>
    <w:rsid w:val="001D0D26"/>
    <w:rsid w:val="001D178A"/>
    <w:rsid w:val="001D1BEC"/>
    <w:rsid w:val="001D2F1A"/>
    <w:rsid w:val="001D313A"/>
    <w:rsid w:val="001D7EF2"/>
    <w:rsid w:val="001E0900"/>
    <w:rsid w:val="001E0B61"/>
    <w:rsid w:val="001E15DD"/>
    <w:rsid w:val="001E216B"/>
    <w:rsid w:val="001E27BA"/>
    <w:rsid w:val="001E3263"/>
    <w:rsid w:val="001E33D1"/>
    <w:rsid w:val="001E365F"/>
    <w:rsid w:val="001E38CB"/>
    <w:rsid w:val="001E449E"/>
    <w:rsid w:val="001E4934"/>
    <w:rsid w:val="001E525C"/>
    <w:rsid w:val="001E6238"/>
    <w:rsid w:val="001E6278"/>
    <w:rsid w:val="001E6854"/>
    <w:rsid w:val="001E68F8"/>
    <w:rsid w:val="001E6BCE"/>
    <w:rsid w:val="001E74ED"/>
    <w:rsid w:val="001F12A0"/>
    <w:rsid w:val="001F1AF0"/>
    <w:rsid w:val="001F1EC5"/>
    <w:rsid w:val="001F1F61"/>
    <w:rsid w:val="001F3114"/>
    <w:rsid w:val="001F418A"/>
    <w:rsid w:val="001F4AAF"/>
    <w:rsid w:val="001F4BAD"/>
    <w:rsid w:val="001F60FA"/>
    <w:rsid w:val="001F6FFA"/>
    <w:rsid w:val="001F722F"/>
    <w:rsid w:val="001F7F70"/>
    <w:rsid w:val="0020247F"/>
    <w:rsid w:val="0020278B"/>
    <w:rsid w:val="00202EA5"/>
    <w:rsid w:val="002031C1"/>
    <w:rsid w:val="002034A8"/>
    <w:rsid w:val="00203F8E"/>
    <w:rsid w:val="00204305"/>
    <w:rsid w:val="0020442C"/>
    <w:rsid w:val="002044A0"/>
    <w:rsid w:val="00204584"/>
    <w:rsid w:val="00204C62"/>
    <w:rsid w:val="00205931"/>
    <w:rsid w:val="00206A70"/>
    <w:rsid w:val="00206E5E"/>
    <w:rsid w:val="002072D4"/>
    <w:rsid w:val="002079F9"/>
    <w:rsid w:val="00210088"/>
    <w:rsid w:val="002109E9"/>
    <w:rsid w:val="0021173D"/>
    <w:rsid w:val="0021205D"/>
    <w:rsid w:val="00212684"/>
    <w:rsid w:val="002155B4"/>
    <w:rsid w:val="00215B33"/>
    <w:rsid w:val="00215F38"/>
    <w:rsid w:val="0021627C"/>
    <w:rsid w:val="00216366"/>
    <w:rsid w:val="00216919"/>
    <w:rsid w:val="0021777F"/>
    <w:rsid w:val="00220FF1"/>
    <w:rsid w:val="00222088"/>
    <w:rsid w:val="00222A3E"/>
    <w:rsid w:val="00223377"/>
    <w:rsid w:val="00223831"/>
    <w:rsid w:val="00223905"/>
    <w:rsid w:val="00223F23"/>
    <w:rsid w:val="0022416D"/>
    <w:rsid w:val="0022419C"/>
    <w:rsid w:val="00224705"/>
    <w:rsid w:val="00225089"/>
    <w:rsid w:val="00225A08"/>
    <w:rsid w:val="00225B1A"/>
    <w:rsid w:val="00225F7D"/>
    <w:rsid w:val="00226C33"/>
    <w:rsid w:val="00226C80"/>
    <w:rsid w:val="00226EC8"/>
    <w:rsid w:val="002277C8"/>
    <w:rsid w:val="002304BD"/>
    <w:rsid w:val="002305BC"/>
    <w:rsid w:val="0023121D"/>
    <w:rsid w:val="00231AC7"/>
    <w:rsid w:val="00232675"/>
    <w:rsid w:val="00233AAC"/>
    <w:rsid w:val="00233E3E"/>
    <w:rsid w:val="00234FD3"/>
    <w:rsid w:val="00235ECB"/>
    <w:rsid w:val="0023662A"/>
    <w:rsid w:val="00240011"/>
    <w:rsid w:val="00241477"/>
    <w:rsid w:val="0024265D"/>
    <w:rsid w:val="00242ACF"/>
    <w:rsid w:val="00242BA2"/>
    <w:rsid w:val="00243270"/>
    <w:rsid w:val="00243F9B"/>
    <w:rsid w:val="00244198"/>
    <w:rsid w:val="002442C4"/>
    <w:rsid w:val="0024632A"/>
    <w:rsid w:val="00246FB7"/>
    <w:rsid w:val="00247549"/>
    <w:rsid w:val="00250D75"/>
    <w:rsid w:val="00251B82"/>
    <w:rsid w:val="0025276D"/>
    <w:rsid w:val="00253131"/>
    <w:rsid w:val="00253D02"/>
    <w:rsid w:val="002544C0"/>
    <w:rsid w:val="002546DD"/>
    <w:rsid w:val="00254921"/>
    <w:rsid w:val="00254DE1"/>
    <w:rsid w:val="00255C02"/>
    <w:rsid w:val="00255D25"/>
    <w:rsid w:val="0025622C"/>
    <w:rsid w:val="00256732"/>
    <w:rsid w:val="0025682F"/>
    <w:rsid w:val="002600A7"/>
    <w:rsid w:val="00260B59"/>
    <w:rsid w:val="002612EB"/>
    <w:rsid w:val="00262761"/>
    <w:rsid w:val="0026300E"/>
    <w:rsid w:val="00263073"/>
    <w:rsid w:val="002640E7"/>
    <w:rsid w:val="00264D0A"/>
    <w:rsid w:val="002654ED"/>
    <w:rsid w:val="002665F0"/>
    <w:rsid w:val="00267427"/>
    <w:rsid w:val="00267935"/>
    <w:rsid w:val="00267E1F"/>
    <w:rsid w:val="002704A2"/>
    <w:rsid w:val="002734A0"/>
    <w:rsid w:val="00273B24"/>
    <w:rsid w:val="00273B8C"/>
    <w:rsid w:val="00276F15"/>
    <w:rsid w:val="0027731A"/>
    <w:rsid w:val="00277482"/>
    <w:rsid w:val="0027796C"/>
    <w:rsid w:val="00280285"/>
    <w:rsid w:val="00280B0A"/>
    <w:rsid w:val="00282366"/>
    <w:rsid w:val="002823A3"/>
    <w:rsid w:val="002826D5"/>
    <w:rsid w:val="00282B68"/>
    <w:rsid w:val="00282F16"/>
    <w:rsid w:val="00282FC0"/>
    <w:rsid w:val="00283138"/>
    <w:rsid w:val="00283598"/>
    <w:rsid w:val="00283DFC"/>
    <w:rsid w:val="002850FD"/>
    <w:rsid w:val="00286547"/>
    <w:rsid w:val="00287932"/>
    <w:rsid w:val="002879D0"/>
    <w:rsid w:val="00287EED"/>
    <w:rsid w:val="00291ADE"/>
    <w:rsid w:val="00291D74"/>
    <w:rsid w:val="00293043"/>
    <w:rsid w:val="00293E48"/>
    <w:rsid w:val="0029402C"/>
    <w:rsid w:val="00295E48"/>
    <w:rsid w:val="00297CDF"/>
    <w:rsid w:val="002A09C8"/>
    <w:rsid w:val="002A10D9"/>
    <w:rsid w:val="002A15CA"/>
    <w:rsid w:val="002A1B13"/>
    <w:rsid w:val="002A2259"/>
    <w:rsid w:val="002A4681"/>
    <w:rsid w:val="002A59D8"/>
    <w:rsid w:val="002A6808"/>
    <w:rsid w:val="002B0A9D"/>
    <w:rsid w:val="002B0F20"/>
    <w:rsid w:val="002B16FD"/>
    <w:rsid w:val="002B210D"/>
    <w:rsid w:val="002B223E"/>
    <w:rsid w:val="002B2FB1"/>
    <w:rsid w:val="002B3644"/>
    <w:rsid w:val="002B582B"/>
    <w:rsid w:val="002B5993"/>
    <w:rsid w:val="002B5CC8"/>
    <w:rsid w:val="002B6CE0"/>
    <w:rsid w:val="002B7125"/>
    <w:rsid w:val="002B7E33"/>
    <w:rsid w:val="002C04D8"/>
    <w:rsid w:val="002C062B"/>
    <w:rsid w:val="002C09F6"/>
    <w:rsid w:val="002C0A4B"/>
    <w:rsid w:val="002C0A94"/>
    <w:rsid w:val="002C1382"/>
    <w:rsid w:val="002C18B4"/>
    <w:rsid w:val="002C19B9"/>
    <w:rsid w:val="002C1A51"/>
    <w:rsid w:val="002C1D27"/>
    <w:rsid w:val="002C2786"/>
    <w:rsid w:val="002C29EF"/>
    <w:rsid w:val="002C372D"/>
    <w:rsid w:val="002C4AD6"/>
    <w:rsid w:val="002C56C0"/>
    <w:rsid w:val="002C5BC8"/>
    <w:rsid w:val="002C5EFC"/>
    <w:rsid w:val="002C738A"/>
    <w:rsid w:val="002C7478"/>
    <w:rsid w:val="002C7D74"/>
    <w:rsid w:val="002C7EBD"/>
    <w:rsid w:val="002D0063"/>
    <w:rsid w:val="002D0760"/>
    <w:rsid w:val="002D0984"/>
    <w:rsid w:val="002D0ADC"/>
    <w:rsid w:val="002D122A"/>
    <w:rsid w:val="002D154C"/>
    <w:rsid w:val="002D1CEC"/>
    <w:rsid w:val="002D1E36"/>
    <w:rsid w:val="002D5238"/>
    <w:rsid w:val="002D6224"/>
    <w:rsid w:val="002D6900"/>
    <w:rsid w:val="002D77EF"/>
    <w:rsid w:val="002D7C6F"/>
    <w:rsid w:val="002E05E1"/>
    <w:rsid w:val="002E13C9"/>
    <w:rsid w:val="002E1E9F"/>
    <w:rsid w:val="002E286A"/>
    <w:rsid w:val="002E332B"/>
    <w:rsid w:val="002E3879"/>
    <w:rsid w:val="002E59AE"/>
    <w:rsid w:val="002E69D5"/>
    <w:rsid w:val="002F00EA"/>
    <w:rsid w:val="002F04F7"/>
    <w:rsid w:val="002F06E8"/>
    <w:rsid w:val="002F0C9B"/>
    <w:rsid w:val="002F11A1"/>
    <w:rsid w:val="002F1656"/>
    <w:rsid w:val="002F1B77"/>
    <w:rsid w:val="002F1CB2"/>
    <w:rsid w:val="002F20A5"/>
    <w:rsid w:val="002F2848"/>
    <w:rsid w:val="002F3FA4"/>
    <w:rsid w:val="002F478B"/>
    <w:rsid w:val="002F4F45"/>
    <w:rsid w:val="002F53DF"/>
    <w:rsid w:val="002F552B"/>
    <w:rsid w:val="002F5B6D"/>
    <w:rsid w:val="002F606F"/>
    <w:rsid w:val="002F6360"/>
    <w:rsid w:val="002F75E9"/>
    <w:rsid w:val="0030007A"/>
    <w:rsid w:val="00300674"/>
    <w:rsid w:val="00300780"/>
    <w:rsid w:val="003007EB"/>
    <w:rsid w:val="003016C8"/>
    <w:rsid w:val="00301A71"/>
    <w:rsid w:val="003021FA"/>
    <w:rsid w:val="003036DA"/>
    <w:rsid w:val="003038A8"/>
    <w:rsid w:val="00303CC3"/>
    <w:rsid w:val="00304464"/>
    <w:rsid w:val="00304F45"/>
    <w:rsid w:val="0030515D"/>
    <w:rsid w:val="00305C13"/>
    <w:rsid w:val="00306222"/>
    <w:rsid w:val="00306F53"/>
    <w:rsid w:val="0030722C"/>
    <w:rsid w:val="00307B81"/>
    <w:rsid w:val="0031039E"/>
    <w:rsid w:val="00310FE6"/>
    <w:rsid w:val="00311C4E"/>
    <w:rsid w:val="003129F7"/>
    <w:rsid w:val="00312E03"/>
    <w:rsid w:val="00312F78"/>
    <w:rsid w:val="0031330F"/>
    <w:rsid w:val="0031351D"/>
    <w:rsid w:val="00313B01"/>
    <w:rsid w:val="003152F3"/>
    <w:rsid w:val="00315C7C"/>
    <w:rsid w:val="003168CD"/>
    <w:rsid w:val="0032035B"/>
    <w:rsid w:val="0032067A"/>
    <w:rsid w:val="0032090B"/>
    <w:rsid w:val="00320DB8"/>
    <w:rsid w:val="00322416"/>
    <w:rsid w:val="00322BCB"/>
    <w:rsid w:val="003230F0"/>
    <w:rsid w:val="003230FA"/>
    <w:rsid w:val="0032394F"/>
    <w:rsid w:val="00325869"/>
    <w:rsid w:val="0033108C"/>
    <w:rsid w:val="00332ED1"/>
    <w:rsid w:val="003333A0"/>
    <w:rsid w:val="0033591D"/>
    <w:rsid w:val="00335FDD"/>
    <w:rsid w:val="003366FA"/>
    <w:rsid w:val="003368B3"/>
    <w:rsid w:val="00336BAC"/>
    <w:rsid w:val="00336C48"/>
    <w:rsid w:val="00337F0C"/>
    <w:rsid w:val="00340286"/>
    <w:rsid w:val="003406FF"/>
    <w:rsid w:val="003413F0"/>
    <w:rsid w:val="003415BC"/>
    <w:rsid w:val="00342575"/>
    <w:rsid w:val="0034383C"/>
    <w:rsid w:val="003448F7"/>
    <w:rsid w:val="0034536D"/>
    <w:rsid w:val="0034595B"/>
    <w:rsid w:val="003459A2"/>
    <w:rsid w:val="00346566"/>
    <w:rsid w:val="00346AB5"/>
    <w:rsid w:val="00346BE8"/>
    <w:rsid w:val="0034751F"/>
    <w:rsid w:val="00347B58"/>
    <w:rsid w:val="00350442"/>
    <w:rsid w:val="003525FF"/>
    <w:rsid w:val="00352AB9"/>
    <w:rsid w:val="00353891"/>
    <w:rsid w:val="00353995"/>
    <w:rsid w:val="00354C52"/>
    <w:rsid w:val="00354DF8"/>
    <w:rsid w:val="00354FA1"/>
    <w:rsid w:val="003579D6"/>
    <w:rsid w:val="00360DAC"/>
    <w:rsid w:val="0036181D"/>
    <w:rsid w:val="00362A1B"/>
    <w:rsid w:val="00363803"/>
    <w:rsid w:val="00363963"/>
    <w:rsid w:val="00365C76"/>
    <w:rsid w:val="003664D7"/>
    <w:rsid w:val="00366EF4"/>
    <w:rsid w:val="00367D90"/>
    <w:rsid w:val="00370595"/>
    <w:rsid w:val="003706CB"/>
    <w:rsid w:val="00371361"/>
    <w:rsid w:val="00371660"/>
    <w:rsid w:val="003717D0"/>
    <w:rsid w:val="003718C5"/>
    <w:rsid w:val="00371904"/>
    <w:rsid w:val="00372606"/>
    <w:rsid w:val="00372DBD"/>
    <w:rsid w:val="003734CF"/>
    <w:rsid w:val="003739B7"/>
    <w:rsid w:val="0037447E"/>
    <w:rsid w:val="00374B30"/>
    <w:rsid w:val="003757C5"/>
    <w:rsid w:val="00375FAA"/>
    <w:rsid w:val="00376B8A"/>
    <w:rsid w:val="00377483"/>
    <w:rsid w:val="00380FC8"/>
    <w:rsid w:val="0038264F"/>
    <w:rsid w:val="003832B9"/>
    <w:rsid w:val="00383F32"/>
    <w:rsid w:val="0038417B"/>
    <w:rsid w:val="00384BDE"/>
    <w:rsid w:val="003861E6"/>
    <w:rsid w:val="003872C8"/>
    <w:rsid w:val="0038756E"/>
    <w:rsid w:val="00387643"/>
    <w:rsid w:val="00390217"/>
    <w:rsid w:val="00390261"/>
    <w:rsid w:val="003904D5"/>
    <w:rsid w:val="00390C5F"/>
    <w:rsid w:val="00391DFC"/>
    <w:rsid w:val="00391EF2"/>
    <w:rsid w:val="0039273E"/>
    <w:rsid w:val="00392AA4"/>
    <w:rsid w:val="00394F68"/>
    <w:rsid w:val="00395062"/>
    <w:rsid w:val="003956F3"/>
    <w:rsid w:val="00395B15"/>
    <w:rsid w:val="00397558"/>
    <w:rsid w:val="00397878"/>
    <w:rsid w:val="003A073F"/>
    <w:rsid w:val="003A0C7F"/>
    <w:rsid w:val="003A11C8"/>
    <w:rsid w:val="003A1752"/>
    <w:rsid w:val="003A33C9"/>
    <w:rsid w:val="003A3CDD"/>
    <w:rsid w:val="003A465E"/>
    <w:rsid w:val="003A4FCB"/>
    <w:rsid w:val="003A552E"/>
    <w:rsid w:val="003A58AB"/>
    <w:rsid w:val="003A5994"/>
    <w:rsid w:val="003A66A0"/>
    <w:rsid w:val="003A6A26"/>
    <w:rsid w:val="003A79A4"/>
    <w:rsid w:val="003B124D"/>
    <w:rsid w:val="003B2F55"/>
    <w:rsid w:val="003B3410"/>
    <w:rsid w:val="003B430B"/>
    <w:rsid w:val="003B4644"/>
    <w:rsid w:val="003B5843"/>
    <w:rsid w:val="003B5B33"/>
    <w:rsid w:val="003B5C66"/>
    <w:rsid w:val="003B6030"/>
    <w:rsid w:val="003B62B6"/>
    <w:rsid w:val="003B69ED"/>
    <w:rsid w:val="003B6D86"/>
    <w:rsid w:val="003B7360"/>
    <w:rsid w:val="003B74F2"/>
    <w:rsid w:val="003B7A4C"/>
    <w:rsid w:val="003C020F"/>
    <w:rsid w:val="003C0231"/>
    <w:rsid w:val="003C0569"/>
    <w:rsid w:val="003C0AE3"/>
    <w:rsid w:val="003C1178"/>
    <w:rsid w:val="003C1200"/>
    <w:rsid w:val="003C1249"/>
    <w:rsid w:val="003C1E9C"/>
    <w:rsid w:val="003C3382"/>
    <w:rsid w:val="003C48DC"/>
    <w:rsid w:val="003C57A6"/>
    <w:rsid w:val="003C6515"/>
    <w:rsid w:val="003C7D4B"/>
    <w:rsid w:val="003C7E02"/>
    <w:rsid w:val="003D0262"/>
    <w:rsid w:val="003D0E09"/>
    <w:rsid w:val="003D11A4"/>
    <w:rsid w:val="003D1340"/>
    <w:rsid w:val="003D1DE4"/>
    <w:rsid w:val="003D289E"/>
    <w:rsid w:val="003D2BCD"/>
    <w:rsid w:val="003D3214"/>
    <w:rsid w:val="003D4392"/>
    <w:rsid w:val="003D49A4"/>
    <w:rsid w:val="003D4F56"/>
    <w:rsid w:val="003D511A"/>
    <w:rsid w:val="003D521A"/>
    <w:rsid w:val="003D682A"/>
    <w:rsid w:val="003D6A08"/>
    <w:rsid w:val="003D6DCB"/>
    <w:rsid w:val="003E0456"/>
    <w:rsid w:val="003E0D45"/>
    <w:rsid w:val="003E143F"/>
    <w:rsid w:val="003E438A"/>
    <w:rsid w:val="003E487B"/>
    <w:rsid w:val="003E58A1"/>
    <w:rsid w:val="003E5F8B"/>
    <w:rsid w:val="003E6306"/>
    <w:rsid w:val="003E7B16"/>
    <w:rsid w:val="003E7CEB"/>
    <w:rsid w:val="003E7D50"/>
    <w:rsid w:val="003F0603"/>
    <w:rsid w:val="003F0914"/>
    <w:rsid w:val="003F0AF0"/>
    <w:rsid w:val="003F13CD"/>
    <w:rsid w:val="003F2E43"/>
    <w:rsid w:val="003F3919"/>
    <w:rsid w:val="003F4926"/>
    <w:rsid w:val="003F5C04"/>
    <w:rsid w:val="003F5D97"/>
    <w:rsid w:val="003F6F18"/>
    <w:rsid w:val="003F737B"/>
    <w:rsid w:val="003F7D3C"/>
    <w:rsid w:val="0040106C"/>
    <w:rsid w:val="00401424"/>
    <w:rsid w:val="004016F9"/>
    <w:rsid w:val="00401C29"/>
    <w:rsid w:val="00402240"/>
    <w:rsid w:val="004026B3"/>
    <w:rsid w:val="004029FA"/>
    <w:rsid w:val="00402F7A"/>
    <w:rsid w:val="0040451E"/>
    <w:rsid w:val="00406A92"/>
    <w:rsid w:val="00406D4C"/>
    <w:rsid w:val="00407381"/>
    <w:rsid w:val="00407FA7"/>
    <w:rsid w:val="00410DF4"/>
    <w:rsid w:val="00411890"/>
    <w:rsid w:val="00411B8A"/>
    <w:rsid w:val="0041362A"/>
    <w:rsid w:val="00415901"/>
    <w:rsid w:val="00416007"/>
    <w:rsid w:val="004174F3"/>
    <w:rsid w:val="00417C6D"/>
    <w:rsid w:val="00420A8D"/>
    <w:rsid w:val="00420E45"/>
    <w:rsid w:val="004217AF"/>
    <w:rsid w:val="00423D19"/>
    <w:rsid w:val="00424AAD"/>
    <w:rsid w:val="00425C0A"/>
    <w:rsid w:val="004260D7"/>
    <w:rsid w:val="0042782A"/>
    <w:rsid w:val="00427A69"/>
    <w:rsid w:val="0043023C"/>
    <w:rsid w:val="004304FB"/>
    <w:rsid w:val="00431479"/>
    <w:rsid w:val="00431ACA"/>
    <w:rsid w:val="00431C8C"/>
    <w:rsid w:val="00432B60"/>
    <w:rsid w:val="004333B0"/>
    <w:rsid w:val="00433EEB"/>
    <w:rsid w:val="00434AC8"/>
    <w:rsid w:val="00434D64"/>
    <w:rsid w:val="00436344"/>
    <w:rsid w:val="0043654E"/>
    <w:rsid w:val="004366B5"/>
    <w:rsid w:val="00440B02"/>
    <w:rsid w:val="004428ED"/>
    <w:rsid w:val="00443010"/>
    <w:rsid w:val="00444CFE"/>
    <w:rsid w:val="00445587"/>
    <w:rsid w:val="0044611F"/>
    <w:rsid w:val="004525DD"/>
    <w:rsid w:val="0045262D"/>
    <w:rsid w:val="00455104"/>
    <w:rsid w:val="00455BB6"/>
    <w:rsid w:val="004567C8"/>
    <w:rsid w:val="0045692E"/>
    <w:rsid w:val="00457BA3"/>
    <w:rsid w:val="00460A2C"/>
    <w:rsid w:val="004627D8"/>
    <w:rsid w:val="004628A1"/>
    <w:rsid w:val="004631F9"/>
    <w:rsid w:val="00463482"/>
    <w:rsid w:val="00463CCD"/>
    <w:rsid w:val="00466518"/>
    <w:rsid w:val="00466E38"/>
    <w:rsid w:val="00471DD4"/>
    <w:rsid w:val="004723C6"/>
    <w:rsid w:val="0047370A"/>
    <w:rsid w:val="00474209"/>
    <w:rsid w:val="00474AA8"/>
    <w:rsid w:val="0047529B"/>
    <w:rsid w:val="00475EA6"/>
    <w:rsid w:val="00476751"/>
    <w:rsid w:val="004778C4"/>
    <w:rsid w:val="0048009F"/>
    <w:rsid w:val="00480403"/>
    <w:rsid w:val="00484026"/>
    <w:rsid w:val="00484EFC"/>
    <w:rsid w:val="00485656"/>
    <w:rsid w:val="004857DC"/>
    <w:rsid w:val="00485B25"/>
    <w:rsid w:val="004866D8"/>
    <w:rsid w:val="0048783B"/>
    <w:rsid w:val="00487B6F"/>
    <w:rsid w:val="00490FE2"/>
    <w:rsid w:val="00491398"/>
    <w:rsid w:val="00491582"/>
    <w:rsid w:val="0049185F"/>
    <w:rsid w:val="00492351"/>
    <w:rsid w:val="00492748"/>
    <w:rsid w:val="00492C2A"/>
    <w:rsid w:val="00492D46"/>
    <w:rsid w:val="00493577"/>
    <w:rsid w:val="00493C8C"/>
    <w:rsid w:val="0049438A"/>
    <w:rsid w:val="00495A83"/>
    <w:rsid w:val="00497426"/>
    <w:rsid w:val="00497F58"/>
    <w:rsid w:val="004A00AE"/>
    <w:rsid w:val="004A0C6D"/>
    <w:rsid w:val="004A11DF"/>
    <w:rsid w:val="004A2AD6"/>
    <w:rsid w:val="004A332A"/>
    <w:rsid w:val="004A53F5"/>
    <w:rsid w:val="004A5A00"/>
    <w:rsid w:val="004A5CEF"/>
    <w:rsid w:val="004A6EC9"/>
    <w:rsid w:val="004A760D"/>
    <w:rsid w:val="004A797A"/>
    <w:rsid w:val="004B054A"/>
    <w:rsid w:val="004B150A"/>
    <w:rsid w:val="004B16B0"/>
    <w:rsid w:val="004B357A"/>
    <w:rsid w:val="004B3819"/>
    <w:rsid w:val="004B3859"/>
    <w:rsid w:val="004B3F60"/>
    <w:rsid w:val="004B4C18"/>
    <w:rsid w:val="004B4D0C"/>
    <w:rsid w:val="004B6099"/>
    <w:rsid w:val="004B76EA"/>
    <w:rsid w:val="004B7B3D"/>
    <w:rsid w:val="004B7D60"/>
    <w:rsid w:val="004C0A24"/>
    <w:rsid w:val="004C2C99"/>
    <w:rsid w:val="004C3DE6"/>
    <w:rsid w:val="004C47C9"/>
    <w:rsid w:val="004C492F"/>
    <w:rsid w:val="004C53DB"/>
    <w:rsid w:val="004C5A34"/>
    <w:rsid w:val="004C5FAD"/>
    <w:rsid w:val="004C67BD"/>
    <w:rsid w:val="004C7776"/>
    <w:rsid w:val="004C7839"/>
    <w:rsid w:val="004D1396"/>
    <w:rsid w:val="004D1E0F"/>
    <w:rsid w:val="004D23D2"/>
    <w:rsid w:val="004D2CEF"/>
    <w:rsid w:val="004D5516"/>
    <w:rsid w:val="004D5826"/>
    <w:rsid w:val="004D5991"/>
    <w:rsid w:val="004D65B5"/>
    <w:rsid w:val="004E0052"/>
    <w:rsid w:val="004E03CC"/>
    <w:rsid w:val="004E0901"/>
    <w:rsid w:val="004E1748"/>
    <w:rsid w:val="004E2308"/>
    <w:rsid w:val="004E288C"/>
    <w:rsid w:val="004E3DBC"/>
    <w:rsid w:val="004E56BE"/>
    <w:rsid w:val="004E5D51"/>
    <w:rsid w:val="004E669C"/>
    <w:rsid w:val="004E6775"/>
    <w:rsid w:val="004E6F11"/>
    <w:rsid w:val="004F04B7"/>
    <w:rsid w:val="004F086C"/>
    <w:rsid w:val="004F1738"/>
    <w:rsid w:val="004F1CDF"/>
    <w:rsid w:val="004F24C6"/>
    <w:rsid w:val="004F27CD"/>
    <w:rsid w:val="004F46E6"/>
    <w:rsid w:val="004F4F35"/>
    <w:rsid w:val="004F58F1"/>
    <w:rsid w:val="004F7B44"/>
    <w:rsid w:val="004F7C0C"/>
    <w:rsid w:val="005000A0"/>
    <w:rsid w:val="00500985"/>
    <w:rsid w:val="00500E12"/>
    <w:rsid w:val="005013C3"/>
    <w:rsid w:val="00502442"/>
    <w:rsid w:val="0050340B"/>
    <w:rsid w:val="005035A6"/>
    <w:rsid w:val="005056FF"/>
    <w:rsid w:val="00505D7D"/>
    <w:rsid w:val="005060A7"/>
    <w:rsid w:val="0050659C"/>
    <w:rsid w:val="00506A4D"/>
    <w:rsid w:val="00506DC7"/>
    <w:rsid w:val="00507E2B"/>
    <w:rsid w:val="005103EB"/>
    <w:rsid w:val="0051053D"/>
    <w:rsid w:val="005106FB"/>
    <w:rsid w:val="005109B3"/>
    <w:rsid w:val="00511617"/>
    <w:rsid w:val="005119E3"/>
    <w:rsid w:val="00511E44"/>
    <w:rsid w:val="00511EDA"/>
    <w:rsid w:val="005134E9"/>
    <w:rsid w:val="00514603"/>
    <w:rsid w:val="005150E7"/>
    <w:rsid w:val="005153AE"/>
    <w:rsid w:val="00515558"/>
    <w:rsid w:val="0051682D"/>
    <w:rsid w:val="00517D47"/>
    <w:rsid w:val="00517EAF"/>
    <w:rsid w:val="0052051F"/>
    <w:rsid w:val="00520CBF"/>
    <w:rsid w:val="005232B4"/>
    <w:rsid w:val="00523718"/>
    <w:rsid w:val="00523EFD"/>
    <w:rsid w:val="00525E49"/>
    <w:rsid w:val="005266C9"/>
    <w:rsid w:val="00530742"/>
    <w:rsid w:val="005308EF"/>
    <w:rsid w:val="00530AF2"/>
    <w:rsid w:val="00531138"/>
    <w:rsid w:val="00532DEC"/>
    <w:rsid w:val="00533094"/>
    <w:rsid w:val="005330BE"/>
    <w:rsid w:val="00533129"/>
    <w:rsid w:val="00533194"/>
    <w:rsid w:val="00533997"/>
    <w:rsid w:val="0053416A"/>
    <w:rsid w:val="00536473"/>
    <w:rsid w:val="00540051"/>
    <w:rsid w:val="0054061F"/>
    <w:rsid w:val="005411B7"/>
    <w:rsid w:val="00542E6A"/>
    <w:rsid w:val="00543BA1"/>
    <w:rsid w:val="0054411F"/>
    <w:rsid w:val="00544F79"/>
    <w:rsid w:val="00545B9A"/>
    <w:rsid w:val="00545E0C"/>
    <w:rsid w:val="0054646C"/>
    <w:rsid w:val="0054703D"/>
    <w:rsid w:val="005474AE"/>
    <w:rsid w:val="0055115D"/>
    <w:rsid w:val="00551909"/>
    <w:rsid w:val="00551E12"/>
    <w:rsid w:val="00552095"/>
    <w:rsid w:val="00552785"/>
    <w:rsid w:val="00553B64"/>
    <w:rsid w:val="00554B2C"/>
    <w:rsid w:val="00555562"/>
    <w:rsid w:val="00555D31"/>
    <w:rsid w:val="0055692F"/>
    <w:rsid w:val="00556F48"/>
    <w:rsid w:val="005576D4"/>
    <w:rsid w:val="00560596"/>
    <w:rsid w:val="00560B25"/>
    <w:rsid w:val="00560E1E"/>
    <w:rsid w:val="0056168D"/>
    <w:rsid w:val="005639A4"/>
    <w:rsid w:val="00563A50"/>
    <w:rsid w:val="00563D7E"/>
    <w:rsid w:val="00563F5B"/>
    <w:rsid w:val="0056626E"/>
    <w:rsid w:val="00566445"/>
    <w:rsid w:val="00566D38"/>
    <w:rsid w:val="00567349"/>
    <w:rsid w:val="005706CE"/>
    <w:rsid w:val="00570ED0"/>
    <w:rsid w:val="005712EE"/>
    <w:rsid w:val="00571734"/>
    <w:rsid w:val="00571C82"/>
    <w:rsid w:val="00571CDC"/>
    <w:rsid w:val="00572479"/>
    <w:rsid w:val="00572511"/>
    <w:rsid w:val="00573051"/>
    <w:rsid w:val="00573142"/>
    <w:rsid w:val="00573B06"/>
    <w:rsid w:val="0057480B"/>
    <w:rsid w:val="00574A67"/>
    <w:rsid w:val="00575BF9"/>
    <w:rsid w:val="005764A3"/>
    <w:rsid w:val="005764D7"/>
    <w:rsid w:val="005801AC"/>
    <w:rsid w:val="005808D7"/>
    <w:rsid w:val="00580C77"/>
    <w:rsid w:val="0058347F"/>
    <w:rsid w:val="0058364B"/>
    <w:rsid w:val="005841BC"/>
    <w:rsid w:val="00584E93"/>
    <w:rsid w:val="00584FAF"/>
    <w:rsid w:val="005868DE"/>
    <w:rsid w:val="00586B3F"/>
    <w:rsid w:val="00586D32"/>
    <w:rsid w:val="00591527"/>
    <w:rsid w:val="00592458"/>
    <w:rsid w:val="00592F1C"/>
    <w:rsid w:val="00594055"/>
    <w:rsid w:val="00595099"/>
    <w:rsid w:val="00595D30"/>
    <w:rsid w:val="005966FC"/>
    <w:rsid w:val="00597849"/>
    <w:rsid w:val="005A0837"/>
    <w:rsid w:val="005A1212"/>
    <w:rsid w:val="005A136C"/>
    <w:rsid w:val="005A14BF"/>
    <w:rsid w:val="005A15E5"/>
    <w:rsid w:val="005A1618"/>
    <w:rsid w:val="005A1B54"/>
    <w:rsid w:val="005A3074"/>
    <w:rsid w:val="005A3147"/>
    <w:rsid w:val="005A3C68"/>
    <w:rsid w:val="005A498B"/>
    <w:rsid w:val="005A50E0"/>
    <w:rsid w:val="005B06BF"/>
    <w:rsid w:val="005B091A"/>
    <w:rsid w:val="005B0C2B"/>
    <w:rsid w:val="005B1F79"/>
    <w:rsid w:val="005B4A5F"/>
    <w:rsid w:val="005B5194"/>
    <w:rsid w:val="005B5F8E"/>
    <w:rsid w:val="005B60A1"/>
    <w:rsid w:val="005B71E3"/>
    <w:rsid w:val="005B76A9"/>
    <w:rsid w:val="005B770F"/>
    <w:rsid w:val="005C0775"/>
    <w:rsid w:val="005C0DA6"/>
    <w:rsid w:val="005C0E45"/>
    <w:rsid w:val="005C2CC8"/>
    <w:rsid w:val="005C42A4"/>
    <w:rsid w:val="005C4448"/>
    <w:rsid w:val="005C47C6"/>
    <w:rsid w:val="005C4EB3"/>
    <w:rsid w:val="005C4F0A"/>
    <w:rsid w:val="005C5C5B"/>
    <w:rsid w:val="005C74EF"/>
    <w:rsid w:val="005D01D1"/>
    <w:rsid w:val="005D0F4E"/>
    <w:rsid w:val="005D1769"/>
    <w:rsid w:val="005D179A"/>
    <w:rsid w:val="005D2714"/>
    <w:rsid w:val="005D29E3"/>
    <w:rsid w:val="005D2B7B"/>
    <w:rsid w:val="005D3899"/>
    <w:rsid w:val="005D3E92"/>
    <w:rsid w:val="005D4242"/>
    <w:rsid w:val="005D439B"/>
    <w:rsid w:val="005D4425"/>
    <w:rsid w:val="005D539A"/>
    <w:rsid w:val="005D548D"/>
    <w:rsid w:val="005D65BE"/>
    <w:rsid w:val="005D7013"/>
    <w:rsid w:val="005D7050"/>
    <w:rsid w:val="005D7863"/>
    <w:rsid w:val="005D7ECE"/>
    <w:rsid w:val="005E03AD"/>
    <w:rsid w:val="005E03BE"/>
    <w:rsid w:val="005E03D0"/>
    <w:rsid w:val="005E0BC1"/>
    <w:rsid w:val="005E207C"/>
    <w:rsid w:val="005E207D"/>
    <w:rsid w:val="005E2C43"/>
    <w:rsid w:val="005E2D1C"/>
    <w:rsid w:val="005E2F84"/>
    <w:rsid w:val="005E3171"/>
    <w:rsid w:val="005E48D4"/>
    <w:rsid w:val="005E5F4B"/>
    <w:rsid w:val="005E6870"/>
    <w:rsid w:val="005E782A"/>
    <w:rsid w:val="005E7987"/>
    <w:rsid w:val="005F0C2C"/>
    <w:rsid w:val="005F1347"/>
    <w:rsid w:val="005F2810"/>
    <w:rsid w:val="005F290F"/>
    <w:rsid w:val="005F3E60"/>
    <w:rsid w:val="005F4837"/>
    <w:rsid w:val="005F4A95"/>
    <w:rsid w:val="005F51B0"/>
    <w:rsid w:val="005F56F7"/>
    <w:rsid w:val="005F628D"/>
    <w:rsid w:val="005F6A46"/>
    <w:rsid w:val="005F6CC7"/>
    <w:rsid w:val="005F734A"/>
    <w:rsid w:val="005F7BB6"/>
    <w:rsid w:val="005F7E62"/>
    <w:rsid w:val="0060046E"/>
    <w:rsid w:val="00600578"/>
    <w:rsid w:val="00600B77"/>
    <w:rsid w:val="00601635"/>
    <w:rsid w:val="00602A9B"/>
    <w:rsid w:val="00602C85"/>
    <w:rsid w:val="00602DCC"/>
    <w:rsid w:val="00602EF5"/>
    <w:rsid w:val="006032C3"/>
    <w:rsid w:val="00604399"/>
    <w:rsid w:val="00604642"/>
    <w:rsid w:val="00606B7D"/>
    <w:rsid w:val="0060720D"/>
    <w:rsid w:val="006072C9"/>
    <w:rsid w:val="0060736A"/>
    <w:rsid w:val="00607ABC"/>
    <w:rsid w:val="0061060C"/>
    <w:rsid w:val="006112B0"/>
    <w:rsid w:val="00612F5B"/>
    <w:rsid w:val="006130F4"/>
    <w:rsid w:val="006139EA"/>
    <w:rsid w:val="006140CE"/>
    <w:rsid w:val="00614C56"/>
    <w:rsid w:val="0061600E"/>
    <w:rsid w:val="006171C1"/>
    <w:rsid w:val="00620F2A"/>
    <w:rsid w:val="00622095"/>
    <w:rsid w:val="00622CAB"/>
    <w:rsid w:val="00622D22"/>
    <w:rsid w:val="006232E9"/>
    <w:rsid w:val="00623942"/>
    <w:rsid w:val="00624237"/>
    <w:rsid w:val="00624AB7"/>
    <w:rsid w:val="006260F8"/>
    <w:rsid w:val="006302FE"/>
    <w:rsid w:val="0063117F"/>
    <w:rsid w:val="0063189D"/>
    <w:rsid w:val="00631F1B"/>
    <w:rsid w:val="006339C3"/>
    <w:rsid w:val="00635C8A"/>
    <w:rsid w:val="00636D2F"/>
    <w:rsid w:val="0063714E"/>
    <w:rsid w:val="0063799E"/>
    <w:rsid w:val="00637F9C"/>
    <w:rsid w:val="00637F9F"/>
    <w:rsid w:val="00640380"/>
    <w:rsid w:val="006405D4"/>
    <w:rsid w:val="006421DE"/>
    <w:rsid w:val="0064276B"/>
    <w:rsid w:val="00645821"/>
    <w:rsid w:val="006467A4"/>
    <w:rsid w:val="00646D75"/>
    <w:rsid w:val="00647354"/>
    <w:rsid w:val="00647846"/>
    <w:rsid w:val="006515ED"/>
    <w:rsid w:val="0065311B"/>
    <w:rsid w:val="00653E44"/>
    <w:rsid w:val="00654101"/>
    <w:rsid w:val="0065508B"/>
    <w:rsid w:val="00656AA9"/>
    <w:rsid w:val="00662D0B"/>
    <w:rsid w:val="006635D0"/>
    <w:rsid w:val="006644E6"/>
    <w:rsid w:val="006648E8"/>
    <w:rsid w:val="0066499C"/>
    <w:rsid w:val="00664C5F"/>
    <w:rsid w:val="006656B6"/>
    <w:rsid w:val="006657AB"/>
    <w:rsid w:val="00665C1F"/>
    <w:rsid w:val="00666178"/>
    <w:rsid w:val="00666701"/>
    <w:rsid w:val="00671B37"/>
    <w:rsid w:val="00671D37"/>
    <w:rsid w:val="00671D92"/>
    <w:rsid w:val="0067273A"/>
    <w:rsid w:val="006733E3"/>
    <w:rsid w:val="00674382"/>
    <w:rsid w:val="0067599C"/>
    <w:rsid w:val="00675D6F"/>
    <w:rsid w:val="006768EE"/>
    <w:rsid w:val="00677354"/>
    <w:rsid w:val="00677B67"/>
    <w:rsid w:val="00677C49"/>
    <w:rsid w:val="0068047F"/>
    <w:rsid w:val="00680632"/>
    <w:rsid w:val="00681FBC"/>
    <w:rsid w:val="00683CFF"/>
    <w:rsid w:val="006842C2"/>
    <w:rsid w:val="00684800"/>
    <w:rsid w:val="00685C58"/>
    <w:rsid w:val="00685DE0"/>
    <w:rsid w:val="00687595"/>
    <w:rsid w:val="006879DA"/>
    <w:rsid w:val="00687DFD"/>
    <w:rsid w:val="00687E06"/>
    <w:rsid w:val="00690E2E"/>
    <w:rsid w:val="006915D5"/>
    <w:rsid w:val="00691B06"/>
    <w:rsid w:val="00691CF0"/>
    <w:rsid w:val="006921AE"/>
    <w:rsid w:val="00693B77"/>
    <w:rsid w:val="00693C7C"/>
    <w:rsid w:val="00693CF4"/>
    <w:rsid w:val="006966A2"/>
    <w:rsid w:val="006978DD"/>
    <w:rsid w:val="00697D86"/>
    <w:rsid w:val="006A1A73"/>
    <w:rsid w:val="006A3B7B"/>
    <w:rsid w:val="006A6270"/>
    <w:rsid w:val="006A7529"/>
    <w:rsid w:val="006B0006"/>
    <w:rsid w:val="006B079B"/>
    <w:rsid w:val="006B1600"/>
    <w:rsid w:val="006B17EC"/>
    <w:rsid w:val="006B1B5A"/>
    <w:rsid w:val="006B1C3B"/>
    <w:rsid w:val="006B21CF"/>
    <w:rsid w:val="006B270C"/>
    <w:rsid w:val="006B521F"/>
    <w:rsid w:val="006B53C8"/>
    <w:rsid w:val="006B581E"/>
    <w:rsid w:val="006B58CE"/>
    <w:rsid w:val="006B5A98"/>
    <w:rsid w:val="006B5F57"/>
    <w:rsid w:val="006B6FD3"/>
    <w:rsid w:val="006B716B"/>
    <w:rsid w:val="006B7E53"/>
    <w:rsid w:val="006C1A27"/>
    <w:rsid w:val="006C1F3A"/>
    <w:rsid w:val="006C2570"/>
    <w:rsid w:val="006C25C4"/>
    <w:rsid w:val="006C3294"/>
    <w:rsid w:val="006C3669"/>
    <w:rsid w:val="006C4984"/>
    <w:rsid w:val="006C4CD6"/>
    <w:rsid w:val="006C528F"/>
    <w:rsid w:val="006C54D7"/>
    <w:rsid w:val="006C567D"/>
    <w:rsid w:val="006C7223"/>
    <w:rsid w:val="006C722D"/>
    <w:rsid w:val="006C7CE5"/>
    <w:rsid w:val="006D19B5"/>
    <w:rsid w:val="006D2BED"/>
    <w:rsid w:val="006D4DEB"/>
    <w:rsid w:val="006D5746"/>
    <w:rsid w:val="006D5931"/>
    <w:rsid w:val="006D5C63"/>
    <w:rsid w:val="006D6642"/>
    <w:rsid w:val="006D7C55"/>
    <w:rsid w:val="006E0C13"/>
    <w:rsid w:val="006E0CB5"/>
    <w:rsid w:val="006E137C"/>
    <w:rsid w:val="006E1E30"/>
    <w:rsid w:val="006E29DD"/>
    <w:rsid w:val="006E377E"/>
    <w:rsid w:val="006E3E5F"/>
    <w:rsid w:val="006E4ABC"/>
    <w:rsid w:val="006E4B1E"/>
    <w:rsid w:val="006E5BF9"/>
    <w:rsid w:val="006E65C6"/>
    <w:rsid w:val="006E6803"/>
    <w:rsid w:val="006E7055"/>
    <w:rsid w:val="006E7A59"/>
    <w:rsid w:val="006F2889"/>
    <w:rsid w:val="006F384A"/>
    <w:rsid w:val="006F426B"/>
    <w:rsid w:val="006F5ADE"/>
    <w:rsid w:val="006F6D7C"/>
    <w:rsid w:val="006F7B0E"/>
    <w:rsid w:val="007021A3"/>
    <w:rsid w:val="0070355A"/>
    <w:rsid w:val="007042E7"/>
    <w:rsid w:val="00704904"/>
    <w:rsid w:val="007049C3"/>
    <w:rsid w:val="007060E8"/>
    <w:rsid w:val="007064C2"/>
    <w:rsid w:val="00707162"/>
    <w:rsid w:val="0070731E"/>
    <w:rsid w:val="007107E5"/>
    <w:rsid w:val="00711F65"/>
    <w:rsid w:val="007124C7"/>
    <w:rsid w:val="00712B2A"/>
    <w:rsid w:val="0071302A"/>
    <w:rsid w:val="0071485C"/>
    <w:rsid w:val="007148F6"/>
    <w:rsid w:val="00715076"/>
    <w:rsid w:val="00715B2B"/>
    <w:rsid w:val="00716B90"/>
    <w:rsid w:val="00716E24"/>
    <w:rsid w:val="00716E7F"/>
    <w:rsid w:val="00717489"/>
    <w:rsid w:val="00717583"/>
    <w:rsid w:val="0072085C"/>
    <w:rsid w:val="00721BCB"/>
    <w:rsid w:val="00721BEF"/>
    <w:rsid w:val="00722917"/>
    <w:rsid w:val="00722F9B"/>
    <w:rsid w:val="00722FB2"/>
    <w:rsid w:val="00723F83"/>
    <w:rsid w:val="0072529F"/>
    <w:rsid w:val="0072541F"/>
    <w:rsid w:val="00725C40"/>
    <w:rsid w:val="007262EE"/>
    <w:rsid w:val="0072642D"/>
    <w:rsid w:val="00727679"/>
    <w:rsid w:val="00727F31"/>
    <w:rsid w:val="007306D6"/>
    <w:rsid w:val="007307F6"/>
    <w:rsid w:val="00731151"/>
    <w:rsid w:val="00733417"/>
    <w:rsid w:val="007345A2"/>
    <w:rsid w:val="007347B0"/>
    <w:rsid w:val="0073591B"/>
    <w:rsid w:val="00736833"/>
    <w:rsid w:val="00736BB5"/>
    <w:rsid w:val="00736D4B"/>
    <w:rsid w:val="00737DF5"/>
    <w:rsid w:val="007431C7"/>
    <w:rsid w:val="0074333D"/>
    <w:rsid w:val="007456A9"/>
    <w:rsid w:val="007460AC"/>
    <w:rsid w:val="0074677F"/>
    <w:rsid w:val="00746B14"/>
    <w:rsid w:val="007472AC"/>
    <w:rsid w:val="00747BC6"/>
    <w:rsid w:val="007516AF"/>
    <w:rsid w:val="0075202A"/>
    <w:rsid w:val="00752A6B"/>
    <w:rsid w:val="00752AC1"/>
    <w:rsid w:val="00752C3B"/>
    <w:rsid w:val="00752CB4"/>
    <w:rsid w:val="007533FB"/>
    <w:rsid w:val="00753620"/>
    <w:rsid w:val="007538CE"/>
    <w:rsid w:val="00753DA2"/>
    <w:rsid w:val="00754A0E"/>
    <w:rsid w:val="00755C8B"/>
    <w:rsid w:val="00755E1A"/>
    <w:rsid w:val="00757507"/>
    <w:rsid w:val="0075757B"/>
    <w:rsid w:val="00760547"/>
    <w:rsid w:val="00761B73"/>
    <w:rsid w:val="0076211B"/>
    <w:rsid w:val="007621B9"/>
    <w:rsid w:val="007621CB"/>
    <w:rsid w:val="0076528C"/>
    <w:rsid w:val="00766087"/>
    <w:rsid w:val="007660BC"/>
    <w:rsid w:val="00767BE5"/>
    <w:rsid w:val="00770EFF"/>
    <w:rsid w:val="00771857"/>
    <w:rsid w:val="00771E3C"/>
    <w:rsid w:val="007744AC"/>
    <w:rsid w:val="007758F8"/>
    <w:rsid w:val="00775C60"/>
    <w:rsid w:val="00776699"/>
    <w:rsid w:val="007775C0"/>
    <w:rsid w:val="007775E8"/>
    <w:rsid w:val="00777904"/>
    <w:rsid w:val="007800B7"/>
    <w:rsid w:val="00780111"/>
    <w:rsid w:val="007806EB"/>
    <w:rsid w:val="00780864"/>
    <w:rsid w:val="0078092F"/>
    <w:rsid w:val="0078121D"/>
    <w:rsid w:val="00781E35"/>
    <w:rsid w:val="0078244B"/>
    <w:rsid w:val="007827F5"/>
    <w:rsid w:val="00784542"/>
    <w:rsid w:val="00784711"/>
    <w:rsid w:val="007855DB"/>
    <w:rsid w:val="00786F3F"/>
    <w:rsid w:val="0078725D"/>
    <w:rsid w:val="00787548"/>
    <w:rsid w:val="00791CBF"/>
    <w:rsid w:val="00791D43"/>
    <w:rsid w:val="00792B5B"/>
    <w:rsid w:val="00792D66"/>
    <w:rsid w:val="007934CD"/>
    <w:rsid w:val="00793DA1"/>
    <w:rsid w:val="007960CB"/>
    <w:rsid w:val="007978EC"/>
    <w:rsid w:val="00797F1C"/>
    <w:rsid w:val="007A012C"/>
    <w:rsid w:val="007A1307"/>
    <w:rsid w:val="007A153E"/>
    <w:rsid w:val="007A21BA"/>
    <w:rsid w:val="007A28AE"/>
    <w:rsid w:val="007A5D44"/>
    <w:rsid w:val="007A6EBE"/>
    <w:rsid w:val="007A7BC8"/>
    <w:rsid w:val="007B0858"/>
    <w:rsid w:val="007B10C4"/>
    <w:rsid w:val="007B129F"/>
    <w:rsid w:val="007B1BD9"/>
    <w:rsid w:val="007B222D"/>
    <w:rsid w:val="007B2978"/>
    <w:rsid w:val="007B2B96"/>
    <w:rsid w:val="007B2BC1"/>
    <w:rsid w:val="007B312B"/>
    <w:rsid w:val="007B5220"/>
    <w:rsid w:val="007B5329"/>
    <w:rsid w:val="007B56C4"/>
    <w:rsid w:val="007B5903"/>
    <w:rsid w:val="007C132A"/>
    <w:rsid w:val="007C37C8"/>
    <w:rsid w:val="007C4512"/>
    <w:rsid w:val="007C53E4"/>
    <w:rsid w:val="007C57F0"/>
    <w:rsid w:val="007C77BC"/>
    <w:rsid w:val="007C785E"/>
    <w:rsid w:val="007D1ADA"/>
    <w:rsid w:val="007D2B8F"/>
    <w:rsid w:val="007D32B9"/>
    <w:rsid w:val="007D5101"/>
    <w:rsid w:val="007D5669"/>
    <w:rsid w:val="007D5F2E"/>
    <w:rsid w:val="007D6180"/>
    <w:rsid w:val="007D6E6E"/>
    <w:rsid w:val="007D7061"/>
    <w:rsid w:val="007E373C"/>
    <w:rsid w:val="007E37C5"/>
    <w:rsid w:val="007E3900"/>
    <w:rsid w:val="007E42D6"/>
    <w:rsid w:val="007E5C8C"/>
    <w:rsid w:val="007E5D45"/>
    <w:rsid w:val="007E667F"/>
    <w:rsid w:val="007E6687"/>
    <w:rsid w:val="007E6856"/>
    <w:rsid w:val="007E6A5F"/>
    <w:rsid w:val="007F06A4"/>
    <w:rsid w:val="007F12F2"/>
    <w:rsid w:val="007F1C9B"/>
    <w:rsid w:val="007F28FF"/>
    <w:rsid w:val="007F2EE2"/>
    <w:rsid w:val="007F4D23"/>
    <w:rsid w:val="007F55AA"/>
    <w:rsid w:val="007F5B9A"/>
    <w:rsid w:val="007F65EA"/>
    <w:rsid w:val="007F6659"/>
    <w:rsid w:val="007F716D"/>
    <w:rsid w:val="00800F8E"/>
    <w:rsid w:val="008012DA"/>
    <w:rsid w:val="00801859"/>
    <w:rsid w:val="00802332"/>
    <w:rsid w:val="0080267F"/>
    <w:rsid w:val="00802D1E"/>
    <w:rsid w:val="00805C65"/>
    <w:rsid w:val="00805FEC"/>
    <w:rsid w:val="00806387"/>
    <w:rsid w:val="0080664C"/>
    <w:rsid w:val="00806FF9"/>
    <w:rsid w:val="00810CB1"/>
    <w:rsid w:val="00812445"/>
    <w:rsid w:val="008134BB"/>
    <w:rsid w:val="00814379"/>
    <w:rsid w:val="008172BB"/>
    <w:rsid w:val="00817DCF"/>
    <w:rsid w:val="008204D3"/>
    <w:rsid w:val="008220AF"/>
    <w:rsid w:val="0082210E"/>
    <w:rsid w:val="00822758"/>
    <w:rsid w:val="00822937"/>
    <w:rsid w:val="008233C0"/>
    <w:rsid w:val="0082508E"/>
    <w:rsid w:val="008251EE"/>
    <w:rsid w:val="00825BD5"/>
    <w:rsid w:val="0082640E"/>
    <w:rsid w:val="00826483"/>
    <w:rsid w:val="008266C2"/>
    <w:rsid w:val="00826846"/>
    <w:rsid w:val="00827287"/>
    <w:rsid w:val="0083035A"/>
    <w:rsid w:val="008310A9"/>
    <w:rsid w:val="0083182A"/>
    <w:rsid w:val="00831EFF"/>
    <w:rsid w:val="008325C6"/>
    <w:rsid w:val="00832A9E"/>
    <w:rsid w:val="00833F22"/>
    <w:rsid w:val="00834D94"/>
    <w:rsid w:val="0083504B"/>
    <w:rsid w:val="00835655"/>
    <w:rsid w:val="008356F2"/>
    <w:rsid w:val="00837521"/>
    <w:rsid w:val="00837FD1"/>
    <w:rsid w:val="008401C2"/>
    <w:rsid w:val="00840347"/>
    <w:rsid w:val="00840A88"/>
    <w:rsid w:val="00840FB2"/>
    <w:rsid w:val="00841DD2"/>
    <w:rsid w:val="00843D72"/>
    <w:rsid w:val="0084417D"/>
    <w:rsid w:val="008448DB"/>
    <w:rsid w:val="00844986"/>
    <w:rsid w:val="00844ABA"/>
    <w:rsid w:val="008451CC"/>
    <w:rsid w:val="00845708"/>
    <w:rsid w:val="00845B8F"/>
    <w:rsid w:val="00845C67"/>
    <w:rsid w:val="008469E7"/>
    <w:rsid w:val="0084775A"/>
    <w:rsid w:val="008505D7"/>
    <w:rsid w:val="008507DB"/>
    <w:rsid w:val="00850FE8"/>
    <w:rsid w:val="00852856"/>
    <w:rsid w:val="00853E05"/>
    <w:rsid w:val="0085525A"/>
    <w:rsid w:val="00855C88"/>
    <w:rsid w:val="008563F0"/>
    <w:rsid w:val="00856DDC"/>
    <w:rsid w:val="008612AD"/>
    <w:rsid w:val="0086134F"/>
    <w:rsid w:val="008614A2"/>
    <w:rsid w:val="008614E6"/>
    <w:rsid w:val="00861970"/>
    <w:rsid w:val="0086273E"/>
    <w:rsid w:val="00862B76"/>
    <w:rsid w:val="00862E0C"/>
    <w:rsid w:val="00863848"/>
    <w:rsid w:val="00864621"/>
    <w:rsid w:val="008653E9"/>
    <w:rsid w:val="008656F4"/>
    <w:rsid w:val="00866170"/>
    <w:rsid w:val="008661EF"/>
    <w:rsid w:val="0086628C"/>
    <w:rsid w:val="00866A1E"/>
    <w:rsid w:val="00866B38"/>
    <w:rsid w:val="008704A1"/>
    <w:rsid w:val="0087069A"/>
    <w:rsid w:val="0087177E"/>
    <w:rsid w:val="00871A68"/>
    <w:rsid w:val="00871A95"/>
    <w:rsid w:val="008740AD"/>
    <w:rsid w:val="00874297"/>
    <w:rsid w:val="0087456C"/>
    <w:rsid w:val="008759CC"/>
    <w:rsid w:val="008761D5"/>
    <w:rsid w:val="00876590"/>
    <w:rsid w:val="0087677E"/>
    <w:rsid w:val="008775F8"/>
    <w:rsid w:val="008812B6"/>
    <w:rsid w:val="00881798"/>
    <w:rsid w:val="00884014"/>
    <w:rsid w:val="008844F1"/>
    <w:rsid w:val="00884C68"/>
    <w:rsid w:val="00885816"/>
    <w:rsid w:val="00885FBE"/>
    <w:rsid w:val="0088633E"/>
    <w:rsid w:val="00886C04"/>
    <w:rsid w:val="00887C36"/>
    <w:rsid w:val="00890000"/>
    <w:rsid w:val="0089019A"/>
    <w:rsid w:val="00892450"/>
    <w:rsid w:val="008929F6"/>
    <w:rsid w:val="00892AE9"/>
    <w:rsid w:val="00892E8E"/>
    <w:rsid w:val="008936B3"/>
    <w:rsid w:val="0089383C"/>
    <w:rsid w:val="008946BE"/>
    <w:rsid w:val="0089656A"/>
    <w:rsid w:val="008A073A"/>
    <w:rsid w:val="008A0DA7"/>
    <w:rsid w:val="008A16A5"/>
    <w:rsid w:val="008A53A7"/>
    <w:rsid w:val="008A591F"/>
    <w:rsid w:val="008A5C48"/>
    <w:rsid w:val="008A6D00"/>
    <w:rsid w:val="008A7B60"/>
    <w:rsid w:val="008B074D"/>
    <w:rsid w:val="008B0872"/>
    <w:rsid w:val="008B12AE"/>
    <w:rsid w:val="008B29BB"/>
    <w:rsid w:val="008B2A73"/>
    <w:rsid w:val="008B2F93"/>
    <w:rsid w:val="008B3528"/>
    <w:rsid w:val="008B35B2"/>
    <w:rsid w:val="008B3FD1"/>
    <w:rsid w:val="008B50B3"/>
    <w:rsid w:val="008B5A77"/>
    <w:rsid w:val="008B5B75"/>
    <w:rsid w:val="008B604D"/>
    <w:rsid w:val="008B6E8F"/>
    <w:rsid w:val="008B7272"/>
    <w:rsid w:val="008B7682"/>
    <w:rsid w:val="008B7E09"/>
    <w:rsid w:val="008C0111"/>
    <w:rsid w:val="008C0C12"/>
    <w:rsid w:val="008C331D"/>
    <w:rsid w:val="008C401E"/>
    <w:rsid w:val="008C42F0"/>
    <w:rsid w:val="008C43A9"/>
    <w:rsid w:val="008C51C2"/>
    <w:rsid w:val="008C55FD"/>
    <w:rsid w:val="008C5ACC"/>
    <w:rsid w:val="008C5F26"/>
    <w:rsid w:val="008C77AB"/>
    <w:rsid w:val="008C7D9E"/>
    <w:rsid w:val="008D1F46"/>
    <w:rsid w:val="008D2873"/>
    <w:rsid w:val="008D3087"/>
    <w:rsid w:val="008D40FF"/>
    <w:rsid w:val="008D463E"/>
    <w:rsid w:val="008D5699"/>
    <w:rsid w:val="008D5F7C"/>
    <w:rsid w:val="008D715A"/>
    <w:rsid w:val="008D77BE"/>
    <w:rsid w:val="008E0980"/>
    <w:rsid w:val="008E2975"/>
    <w:rsid w:val="008E2FBB"/>
    <w:rsid w:val="008E3481"/>
    <w:rsid w:val="008E3867"/>
    <w:rsid w:val="008E3D07"/>
    <w:rsid w:val="008E4192"/>
    <w:rsid w:val="008E438A"/>
    <w:rsid w:val="008E4977"/>
    <w:rsid w:val="008E56E2"/>
    <w:rsid w:val="008E62F5"/>
    <w:rsid w:val="008E6F16"/>
    <w:rsid w:val="008F036A"/>
    <w:rsid w:val="008F19F4"/>
    <w:rsid w:val="008F1F99"/>
    <w:rsid w:val="008F25AD"/>
    <w:rsid w:val="008F318C"/>
    <w:rsid w:val="008F326A"/>
    <w:rsid w:val="008F32F5"/>
    <w:rsid w:val="008F3DBF"/>
    <w:rsid w:val="008F480E"/>
    <w:rsid w:val="008F4B73"/>
    <w:rsid w:val="008F6B16"/>
    <w:rsid w:val="008F7373"/>
    <w:rsid w:val="008F7825"/>
    <w:rsid w:val="008F7B46"/>
    <w:rsid w:val="0090066B"/>
    <w:rsid w:val="009006BB"/>
    <w:rsid w:val="00901935"/>
    <w:rsid w:val="00902421"/>
    <w:rsid w:val="0090255B"/>
    <w:rsid w:val="00902819"/>
    <w:rsid w:val="00904945"/>
    <w:rsid w:val="00904A4B"/>
    <w:rsid w:val="009051AB"/>
    <w:rsid w:val="009064D2"/>
    <w:rsid w:val="00907316"/>
    <w:rsid w:val="009102FB"/>
    <w:rsid w:val="0091064E"/>
    <w:rsid w:val="009108AC"/>
    <w:rsid w:val="00911497"/>
    <w:rsid w:val="00911665"/>
    <w:rsid w:val="00914C9C"/>
    <w:rsid w:val="00914CB1"/>
    <w:rsid w:val="00915E1B"/>
    <w:rsid w:val="00917237"/>
    <w:rsid w:val="00917400"/>
    <w:rsid w:val="009207DC"/>
    <w:rsid w:val="00920C58"/>
    <w:rsid w:val="009215A4"/>
    <w:rsid w:val="00924999"/>
    <w:rsid w:val="00925A2F"/>
    <w:rsid w:val="00927772"/>
    <w:rsid w:val="00930E6C"/>
    <w:rsid w:val="00930EB4"/>
    <w:rsid w:val="00930ED1"/>
    <w:rsid w:val="00931F9D"/>
    <w:rsid w:val="00932C7A"/>
    <w:rsid w:val="009339BD"/>
    <w:rsid w:val="00933EB6"/>
    <w:rsid w:val="0093457B"/>
    <w:rsid w:val="00935962"/>
    <w:rsid w:val="00935C6C"/>
    <w:rsid w:val="00935E82"/>
    <w:rsid w:val="00937645"/>
    <w:rsid w:val="009377B5"/>
    <w:rsid w:val="009379B0"/>
    <w:rsid w:val="00937A3D"/>
    <w:rsid w:val="009402AC"/>
    <w:rsid w:val="00940592"/>
    <w:rsid w:val="0094106E"/>
    <w:rsid w:val="009412C0"/>
    <w:rsid w:val="009421AC"/>
    <w:rsid w:val="009429CB"/>
    <w:rsid w:val="00944605"/>
    <w:rsid w:val="0094668D"/>
    <w:rsid w:val="00947FDA"/>
    <w:rsid w:val="00947FDE"/>
    <w:rsid w:val="00950471"/>
    <w:rsid w:val="00950489"/>
    <w:rsid w:val="009506DF"/>
    <w:rsid w:val="00950D57"/>
    <w:rsid w:val="00950D72"/>
    <w:rsid w:val="00952D15"/>
    <w:rsid w:val="00954BED"/>
    <w:rsid w:val="0095531B"/>
    <w:rsid w:val="00957811"/>
    <w:rsid w:val="00957E76"/>
    <w:rsid w:val="0096097B"/>
    <w:rsid w:val="00961D2E"/>
    <w:rsid w:val="00961F07"/>
    <w:rsid w:val="00963D11"/>
    <w:rsid w:val="00964689"/>
    <w:rsid w:val="00964B62"/>
    <w:rsid w:val="00965CAE"/>
    <w:rsid w:val="00966600"/>
    <w:rsid w:val="009667A0"/>
    <w:rsid w:val="0097044E"/>
    <w:rsid w:val="00971730"/>
    <w:rsid w:val="00971A00"/>
    <w:rsid w:val="009727A6"/>
    <w:rsid w:val="00973B5F"/>
    <w:rsid w:val="00973BB2"/>
    <w:rsid w:val="00974B23"/>
    <w:rsid w:val="00974CAF"/>
    <w:rsid w:val="009753DF"/>
    <w:rsid w:val="0097592F"/>
    <w:rsid w:val="0097655C"/>
    <w:rsid w:val="00977031"/>
    <w:rsid w:val="00977ACC"/>
    <w:rsid w:val="00980B4C"/>
    <w:rsid w:val="00980DA8"/>
    <w:rsid w:val="00981D0A"/>
    <w:rsid w:val="00981E77"/>
    <w:rsid w:val="00982227"/>
    <w:rsid w:val="0098296B"/>
    <w:rsid w:val="00982BE1"/>
    <w:rsid w:val="00982CEE"/>
    <w:rsid w:val="009837B5"/>
    <w:rsid w:val="00983B06"/>
    <w:rsid w:val="009847D3"/>
    <w:rsid w:val="0098592F"/>
    <w:rsid w:val="009861DC"/>
    <w:rsid w:val="0098637A"/>
    <w:rsid w:val="00986F3D"/>
    <w:rsid w:val="009871EA"/>
    <w:rsid w:val="00987B1E"/>
    <w:rsid w:val="00987F5E"/>
    <w:rsid w:val="00990649"/>
    <w:rsid w:val="00992F62"/>
    <w:rsid w:val="009935C6"/>
    <w:rsid w:val="00993866"/>
    <w:rsid w:val="00993CE6"/>
    <w:rsid w:val="00994832"/>
    <w:rsid w:val="00994E81"/>
    <w:rsid w:val="0099547B"/>
    <w:rsid w:val="0099663B"/>
    <w:rsid w:val="009966FA"/>
    <w:rsid w:val="00996D45"/>
    <w:rsid w:val="00997058"/>
    <w:rsid w:val="00997AC0"/>
    <w:rsid w:val="009A02D9"/>
    <w:rsid w:val="009A0768"/>
    <w:rsid w:val="009A175F"/>
    <w:rsid w:val="009A1FF7"/>
    <w:rsid w:val="009A31AA"/>
    <w:rsid w:val="009A38D5"/>
    <w:rsid w:val="009A395B"/>
    <w:rsid w:val="009A39E2"/>
    <w:rsid w:val="009A4009"/>
    <w:rsid w:val="009A43D1"/>
    <w:rsid w:val="009A5696"/>
    <w:rsid w:val="009A5AEC"/>
    <w:rsid w:val="009A66F3"/>
    <w:rsid w:val="009A6BB4"/>
    <w:rsid w:val="009A7534"/>
    <w:rsid w:val="009A7D03"/>
    <w:rsid w:val="009B083A"/>
    <w:rsid w:val="009B129C"/>
    <w:rsid w:val="009B1802"/>
    <w:rsid w:val="009B2E10"/>
    <w:rsid w:val="009B3785"/>
    <w:rsid w:val="009B3F14"/>
    <w:rsid w:val="009B506D"/>
    <w:rsid w:val="009B530E"/>
    <w:rsid w:val="009B5EFF"/>
    <w:rsid w:val="009B5FA7"/>
    <w:rsid w:val="009B62CD"/>
    <w:rsid w:val="009B67F2"/>
    <w:rsid w:val="009B7B61"/>
    <w:rsid w:val="009C0340"/>
    <w:rsid w:val="009C041B"/>
    <w:rsid w:val="009C0606"/>
    <w:rsid w:val="009C0F45"/>
    <w:rsid w:val="009C2198"/>
    <w:rsid w:val="009C2A34"/>
    <w:rsid w:val="009C36B2"/>
    <w:rsid w:val="009C459B"/>
    <w:rsid w:val="009C54B6"/>
    <w:rsid w:val="009C5D9A"/>
    <w:rsid w:val="009C6B61"/>
    <w:rsid w:val="009C6F0F"/>
    <w:rsid w:val="009C75D4"/>
    <w:rsid w:val="009D168E"/>
    <w:rsid w:val="009D3AD7"/>
    <w:rsid w:val="009D41A8"/>
    <w:rsid w:val="009D5FCE"/>
    <w:rsid w:val="009D6050"/>
    <w:rsid w:val="009E11A8"/>
    <w:rsid w:val="009E20E4"/>
    <w:rsid w:val="009E30A0"/>
    <w:rsid w:val="009E464A"/>
    <w:rsid w:val="009E4805"/>
    <w:rsid w:val="009E55E3"/>
    <w:rsid w:val="009E5BCE"/>
    <w:rsid w:val="009E61BC"/>
    <w:rsid w:val="009E664B"/>
    <w:rsid w:val="009E7658"/>
    <w:rsid w:val="009E78DD"/>
    <w:rsid w:val="009F1BEB"/>
    <w:rsid w:val="009F2956"/>
    <w:rsid w:val="009F2A01"/>
    <w:rsid w:val="009F32E7"/>
    <w:rsid w:val="009F3694"/>
    <w:rsid w:val="009F3B4E"/>
    <w:rsid w:val="009F55F3"/>
    <w:rsid w:val="009F61EE"/>
    <w:rsid w:val="009F6B9E"/>
    <w:rsid w:val="00A008ED"/>
    <w:rsid w:val="00A00B22"/>
    <w:rsid w:val="00A01BEC"/>
    <w:rsid w:val="00A01E69"/>
    <w:rsid w:val="00A02821"/>
    <w:rsid w:val="00A02E7A"/>
    <w:rsid w:val="00A04B7D"/>
    <w:rsid w:val="00A06DB9"/>
    <w:rsid w:val="00A07D01"/>
    <w:rsid w:val="00A11420"/>
    <w:rsid w:val="00A11623"/>
    <w:rsid w:val="00A11F97"/>
    <w:rsid w:val="00A12229"/>
    <w:rsid w:val="00A13910"/>
    <w:rsid w:val="00A1399A"/>
    <w:rsid w:val="00A14482"/>
    <w:rsid w:val="00A146F8"/>
    <w:rsid w:val="00A14B6A"/>
    <w:rsid w:val="00A1515C"/>
    <w:rsid w:val="00A16667"/>
    <w:rsid w:val="00A17A80"/>
    <w:rsid w:val="00A201A9"/>
    <w:rsid w:val="00A22E3A"/>
    <w:rsid w:val="00A24203"/>
    <w:rsid w:val="00A244EB"/>
    <w:rsid w:val="00A24999"/>
    <w:rsid w:val="00A26F55"/>
    <w:rsid w:val="00A27051"/>
    <w:rsid w:val="00A27B6A"/>
    <w:rsid w:val="00A31BD3"/>
    <w:rsid w:val="00A32ECB"/>
    <w:rsid w:val="00A339C9"/>
    <w:rsid w:val="00A33D37"/>
    <w:rsid w:val="00A34693"/>
    <w:rsid w:val="00A35047"/>
    <w:rsid w:val="00A357F2"/>
    <w:rsid w:val="00A363EE"/>
    <w:rsid w:val="00A37273"/>
    <w:rsid w:val="00A37402"/>
    <w:rsid w:val="00A41DB4"/>
    <w:rsid w:val="00A41E4C"/>
    <w:rsid w:val="00A43059"/>
    <w:rsid w:val="00A439C4"/>
    <w:rsid w:val="00A44581"/>
    <w:rsid w:val="00A45216"/>
    <w:rsid w:val="00A45281"/>
    <w:rsid w:val="00A452DF"/>
    <w:rsid w:val="00A4570D"/>
    <w:rsid w:val="00A45E83"/>
    <w:rsid w:val="00A4621C"/>
    <w:rsid w:val="00A47A78"/>
    <w:rsid w:val="00A5008E"/>
    <w:rsid w:val="00A501A3"/>
    <w:rsid w:val="00A50BB3"/>
    <w:rsid w:val="00A51244"/>
    <w:rsid w:val="00A51A42"/>
    <w:rsid w:val="00A53150"/>
    <w:rsid w:val="00A54416"/>
    <w:rsid w:val="00A54A2C"/>
    <w:rsid w:val="00A55631"/>
    <w:rsid w:val="00A55838"/>
    <w:rsid w:val="00A55CC3"/>
    <w:rsid w:val="00A55F26"/>
    <w:rsid w:val="00A57187"/>
    <w:rsid w:val="00A6132E"/>
    <w:rsid w:val="00A62464"/>
    <w:rsid w:val="00A63402"/>
    <w:rsid w:val="00A63585"/>
    <w:rsid w:val="00A63A9C"/>
    <w:rsid w:val="00A641DE"/>
    <w:rsid w:val="00A64DD9"/>
    <w:rsid w:val="00A664BF"/>
    <w:rsid w:val="00A66C7E"/>
    <w:rsid w:val="00A66CC6"/>
    <w:rsid w:val="00A67038"/>
    <w:rsid w:val="00A700AE"/>
    <w:rsid w:val="00A7070B"/>
    <w:rsid w:val="00A70C25"/>
    <w:rsid w:val="00A70C4D"/>
    <w:rsid w:val="00A721D9"/>
    <w:rsid w:val="00A737A7"/>
    <w:rsid w:val="00A73C26"/>
    <w:rsid w:val="00A74460"/>
    <w:rsid w:val="00A7477A"/>
    <w:rsid w:val="00A754F3"/>
    <w:rsid w:val="00A760B2"/>
    <w:rsid w:val="00A80929"/>
    <w:rsid w:val="00A80FE4"/>
    <w:rsid w:val="00A81600"/>
    <w:rsid w:val="00A82FA9"/>
    <w:rsid w:val="00A83F26"/>
    <w:rsid w:val="00A850FF"/>
    <w:rsid w:val="00A85E10"/>
    <w:rsid w:val="00A86C0D"/>
    <w:rsid w:val="00A909EE"/>
    <w:rsid w:val="00A918E1"/>
    <w:rsid w:val="00A91A66"/>
    <w:rsid w:val="00A96CDC"/>
    <w:rsid w:val="00A97545"/>
    <w:rsid w:val="00A9763D"/>
    <w:rsid w:val="00AA05C9"/>
    <w:rsid w:val="00AA0A25"/>
    <w:rsid w:val="00AA16EE"/>
    <w:rsid w:val="00AA1B5E"/>
    <w:rsid w:val="00AA29F5"/>
    <w:rsid w:val="00AA2CB0"/>
    <w:rsid w:val="00AA3897"/>
    <w:rsid w:val="00AB04DA"/>
    <w:rsid w:val="00AB0E93"/>
    <w:rsid w:val="00AB15DA"/>
    <w:rsid w:val="00AB24DB"/>
    <w:rsid w:val="00AB2866"/>
    <w:rsid w:val="00AB3D05"/>
    <w:rsid w:val="00AB4091"/>
    <w:rsid w:val="00AB410E"/>
    <w:rsid w:val="00AB49B1"/>
    <w:rsid w:val="00AB4E6F"/>
    <w:rsid w:val="00AB5F8A"/>
    <w:rsid w:val="00AB76E2"/>
    <w:rsid w:val="00AB7C58"/>
    <w:rsid w:val="00AB7FBF"/>
    <w:rsid w:val="00AC03EF"/>
    <w:rsid w:val="00AC1C8F"/>
    <w:rsid w:val="00AC42EB"/>
    <w:rsid w:val="00AC4D2C"/>
    <w:rsid w:val="00AC4FA5"/>
    <w:rsid w:val="00AC5ED6"/>
    <w:rsid w:val="00AC61A1"/>
    <w:rsid w:val="00AC6C71"/>
    <w:rsid w:val="00AD059F"/>
    <w:rsid w:val="00AD0AA4"/>
    <w:rsid w:val="00AD10A8"/>
    <w:rsid w:val="00AD18E0"/>
    <w:rsid w:val="00AD1C6F"/>
    <w:rsid w:val="00AD4455"/>
    <w:rsid w:val="00AD534F"/>
    <w:rsid w:val="00AD5DFF"/>
    <w:rsid w:val="00AD6270"/>
    <w:rsid w:val="00AE0248"/>
    <w:rsid w:val="00AE1A7B"/>
    <w:rsid w:val="00AE1FBF"/>
    <w:rsid w:val="00AE237A"/>
    <w:rsid w:val="00AE25A8"/>
    <w:rsid w:val="00AE3983"/>
    <w:rsid w:val="00AE4217"/>
    <w:rsid w:val="00AE4315"/>
    <w:rsid w:val="00AE4506"/>
    <w:rsid w:val="00AE48AF"/>
    <w:rsid w:val="00AE54C0"/>
    <w:rsid w:val="00AE5626"/>
    <w:rsid w:val="00AE5F3D"/>
    <w:rsid w:val="00AE625C"/>
    <w:rsid w:val="00AE69A8"/>
    <w:rsid w:val="00AE70C6"/>
    <w:rsid w:val="00AE7FD8"/>
    <w:rsid w:val="00AF1326"/>
    <w:rsid w:val="00AF25D4"/>
    <w:rsid w:val="00AF3696"/>
    <w:rsid w:val="00AF3A10"/>
    <w:rsid w:val="00AF4A8C"/>
    <w:rsid w:val="00AF5095"/>
    <w:rsid w:val="00AF59CC"/>
    <w:rsid w:val="00AF7C69"/>
    <w:rsid w:val="00B00CDC"/>
    <w:rsid w:val="00B00EAE"/>
    <w:rsid w:val="00B00ECF"/>
    <w:rsid w:val="00B01431"/>
    <w:rsid w:val="00B02E9D"/>
    <w:rsid w:val="00B037CF"/>
    <w:rsid w:val="00B04B8F"/>
    <w:rsid w:val="00B05081"/>
    <w:rsid w:val="00B05324"/>
    <w:rsid w:val="00B05AB5"/>
    <w:rsid w:val="00B064C6"/>
    <w:rsid w:val="00B071F2"/>
    <w:rsid w:val="00B10A74"/>
    <w:rsid w:val="00B10F52"/>
    <w:rsid w:val="00B123BE"/>
    <w:rsid w:val="00B12494"/>
    <w:rsid w:val="00B12D62"/>
    <w:rsid w:val="00B12DF3"/>
    <w:rsid w:val="00B142C7"/>
    <w:rsid w:val="00B15046"/>
    <w:rsid w:val="00B151C5"/>
    <w:rsid w:val="00B152EC"/>
    <w:rsid w:val="00B17F04"/>
    <w:rsid w:val="00B205A9"/>
    <w:rsid w:val="00B21FFE"/>
    <w:rsid w:val="00B22233"/>
    <w:rsid w:val="00B229AA"/>
    <w:rsid w:val="00B2313C"/>
    <w:rsid w:val="00B2543B"/>
    <w:rsid w:val="00B2660A"/>
    <w:rsid w:val="00B310B9"/>
    <w:rsid w:val="00B330A6"/>
    <w:rsid w:val="00B33179"/>
    <w:rsid w:val="00B35638"/>
    <w:rsid w:val="00B35C4A"/>
    <w:rsid w:val="00B360BA"/>
    <w:rsid w:val="00B36209"/>
    <w:rsid w:val="00B37F8D"/>
    <w:rsid w:val="00B410B0"/>
    <w:rsid w:val="00B41474"/>
    <w:rsid w:val="00B4161D"/>
    <w:rsid w:val="00B42BF4"/>
    <w:rsid w:val="00B438D6"/>
    <w:rsid w:val="00B46CE1"/>
    <w:rsid w:val="00B47A75"/>
    <w:rsid w:val="00B47E31"/>
    <w:rsid w:val="00B500EE"/>
    <w:rsid w:val="00B50DFD"/>
    <w:rsid w:val="00B50EE7"/>
    <w:rsid w:val="00B53335"/>
    <w:rsid w:val="00B557C0"/>
    <w:rsid w:val="00B562B8"/>
    <w:rsid w:val="00B567AC"/>
    <w:rsid w:val="00B567FA"/>
    <w:rsid w:val="00B60733"/>
    <w:rsid w:val="00B60BC3"/>
    <w:rsid w:val="00B61A84"/>
    <w:rsid w:val="00B62A36"/>
    <w:rsid w:val="00B641FB"/>
    <w:rsid w:val="00B6465D"/>
    <w:rsid w:val="00B64DF9"/>
    <w:rsid w:val="00B64E38"/>
    <w:rsid w:val="00B6502B"/>
    <w:rsid w:val="00B65EBC"/>
    <w:rsid w:val="00B668C1"/>
    <w:rsid w:val="00B66BA5"/>
    <w:rsid w:val="00B6729B"/>
    <w:rsid w:val="00B67525"/>
    <w:rsid w:val="00B67726"/>
    <w:rsid w:val="00B71DAA"/>
    <w:rsid w:val="00B73A56"/>
    <w:rsid w:val="00B74452"/>
    <w:rsid w:val="00B74762"/>
    <w:rsid w:val="00B75633"/>
    <w:rsid w:val="00B75937"/>
    <w:rsid w:val="00B75967"/>
    <w:rsid w:val="00B768E0"/>
    <w:rsid w:val="00B77241"/>
    <w:rsid w:val="00B77353"/>
    <w:rsid w:val="00B77722"/>
    <w:rsid w:val="00B77F1B"/>
    <w:rsid w:val="00B8158E"/>
    <w:rsid w:val="00B81768"/>
    <w:rsid w:val="00B81F9F"/>
    <w:rsid w:val="00B829B4"/>
    <w:rsid w:val="00B82CBB"/>
    <w:rsid w:val="00B83A5F"/>
    <w:rsid w:val="00B8406C"/>
    <w:rsid w:val="00B841D1"/>
    <w:rsid w:val="00B841F8"/>
    <w:rsid w:val="00B84E1B"/>
    <w:rsid w:val="00B8532D"/>
    <w:rsid w:val="00B8590D"/>
    <w:rsid w:val="00B86648"/>
    <w:rsid w:val="00B868B1"/>
    <w:rsid w:val="00B86E02"/>
    <w:rsid w:val="00B910D4"/>
    <w:rsid w:val="00B92FC2"/>
    <w:rsid w:val="00B93B33"/>
    <w:rsid w:val="00B940ED"/>
    <w:rsid w:val="00B94629"/>
    <w:rsid w:val="00B9527D"/>
    <w:rsid w:val="00B9606F"/>
    <w:rsid w:val="00B96B47"/>
    <w:rsid w:val="00B96DB4"/>
    <w:rsid w:val="00BA1359"/>
    <w:rsid w:val="00BA24B7"/>
    <w:rsid w:val="00BA367D"/>
    <w:rsid w:val="00BA3A92"/>
    <w:rsid w:val="00BA416E"/>
    <w:rsid w:val="00BA4C5F"/>
    <w:rsid w:val="00BA4F29"/>
    <w:rsid w:val="00BA5B46"/>
    <w:rsid w:val="00BA678C"/>
    <w:rsid w:val="00BA7F91"/>
    <w:rsid w:val="00BB1957"/>
    <w:rsid w:val="00BB19FC"/>
    <w:rsid w:val="00BB1C41"/>
    <w:rsid w:val="00BB3A65"/>
    <w:rsid w:val="00BB3DB0"/>
    <w:rsid w:val="00BB3E90"/>
    <w:rsid w:val="00BB5FFF"/>
    <w:rsid w:val="00BB6054"/>
    <w:rsid w:val="00BB7458"/>
    <w:rsid w:val="00BC0D3C"/>
    <w:rsid w:val="00BC27D1"/>
    <w:rsid w:val="00BC2953"/>
    <w:rsid w:val="00BC29DD"/>
    <w:rsid w:val="00BC2AD0"/>
    <w:rsid w:val="00BC2F2C"/>
    <w:rsid w:val="00BC3B20"/>
    <w:rsid w:val="00BC4B7D"/>
    <w:rsid w:val="00BC5882"/>
    <w:rsid w:val="00BC65FA"/>
    <w:rsid w:val="00BC6908"/>
    <w:rsid w:val="00BC6A7D"/>
    <w:rsid w:val="00BC77A9"/>
    <w:rsid w:val="00BC79D9"/>
    <w:rsid w:val="00BD0C85"/>
    <w:rsid w:val="00BD11EB"/>
    <w:rsid w:val="00BD17D2"/>
    <w:rsid w:val="00BD2465"/>
    <w:rsid w:val="00BD3863"/>
    <w:rsid w:val="00BD46FF"/>
    <w:rsid w:val="00BD4B6C"/>
    <w:rsid w:val="00BD4B85"/>
    <w:rsid w:val="00BD563C"/>
    <w:rsid w:val="00BD59E7"/>
    <w:rsid w:val="00BD61CD"/>
    <w:rsid w:val="00BD629F"/>
    <w:rsid w:val="00BD650C"/>
    <w:rsid w:val="00BE003F"/>
    <w:rsid w:val="00BE0296"/>
    <w:rsid w:val="00BE2ECD"/>
    <w:rsid w:val="00BE4262"/>
    <w:rsid w:val="00BE434A"/>
    <w:rsid w:val="00BE4D41"/>
    <w:rsid w:val="00BE5103"/>
    <w:rsid w:val="00BE7914"/>
    <w:rsid w:val="00BF0787"/>
    <w:rsid w:val="00BF085F"/>
    <w:rsid w:val="00BF1679"/>
    <w:rsid w:val="00BF2B1E"/>
    <w:rsid w:val="00BF4959"/>
    <w:rsid w:val="00BF73AE"/>
    <w:rsid w:val="00C005EA"/>
    <w:rsid w:val="00C01020"/>
    <w:rsid w:val="00C01665"/>
    <w:rsid w:val="00C070AD"/>
    <w:rsid w:val="00C113E5"/>
    <w:rsid w:val="00C1158F"/>
    <w:rsid w:val="00C11CDD"/>
    <w:rsid w:val="00C11FA5"/>
    <w:rsid w:val="00C12871"/>
    <w:rsid w:val="00C12F30"/>
    <w:rsid w:val="00C132DE"/>
    <w:rsid w:val="00C135FE"/>
    <w:rsid w:val="00C14A50"/>
    <w:rsid w:val="00C15A9E"/>
    <w:rsid w:val="00C162CE"/>
    <w:rsid w:val="00C1649D"/>
    <w:rsid w:val="00C166AD"/>
    <w:rsid w:val="00C210F3"/>
    <w:rsid w:val="00C21454"/>
    <w:rsid w:val="00C23049"/>
    <w:rsid w:val="00C23440"/>
    <w:rsid w:val="00C24135"/>
    <w:rsid w:val="00C253E9"/>
    <w:rsid w:val="00C2573B"/>
    <w:rsid w:val="00C263EA"/>
    <w:rsid w:val="00C265C1"/>
    <w:rsid w:val="00C269DF"/>
    <w:rsid w:val="00C27B65"/>
    <w:rsid w:val="00C313D4"/>
    <w:rsid w:val="00C3172E"/>
    <w:rsid w:val="00C321E9"/>
    <w:rsid w:val="00C3231A"/>
    <w:rsid w:val="00C35C82"/>
    <w:rsid w:val="00C367B0"/>
    <w:rsid w:val="00C37BA3"/>
    <w:rsid w:val="00C37E7A"/>
    <w:rsid w:val="00C418E2"/>
    <w:rsid w:val="00C41D24"/>
    <w:rsid w:val="00C42060"/>
    <w:rsid w:val="00C43D04"/>
    <w:rsid w:val="00C4446A"/>
    <w:rsid w:val="00C44ED7"/>
    <w:rsid w:val="00C46779"/>
    <w:rsid w:val="00C46A93"/>
    <w:rsid w:val="00C47E0D"/>
    <w:rsid w:val="00C505BB"/>
    <w:rsid w:val="00C517FE"/>
    <w:rsid w:val="00C5207E"/>
    <w:rsid w:val="00C5233F"/>
    <w:rsid w:val="00C5271F"/>
    <w:rsid w:val="00C52734"/>
    <w:rsid w:val="00C533DD"/>
    <w:rsid w:val="00C54CE7"/>
    <w:rsid w:val="00C550E2"/>
    <w:rsid w:val="00C55F89"/>
    <w:rsid w:val="00C57F66"/>
    <w:rsid w:val="00C60C9A"/>
    <w:rsid w:val="00C61286"/>
    <w:rsid w:val="00C65FCD"/>
    <w:rsid w:val="00C6665C"/>
    <w:rsid w:val="00C66B5D"/>
    <w:rsid w:val="00C675CB"/>
    <w:rsid w:val="00C70ACE"/>
    <w:rsid w:val="00C715A8"/>
    <w:rsid w:val="00C71822"/>
    <w:rsid w:val="00C7340E"/>
    <w:rsid w:val="00C73746"/>
    <w:rsid w:val="00C7473B"/>
    <w:rsid w:val="00C74A44"/>
    <w:rsid w:val="00C74F72"/>
    <w:rsid w:val="00C75421"/>
    <w:rsid w:val="00C7571E"/>
    <w:rsid w:val="00C771FB"/>
    <w:rsid w:val="00C808D4"/>
    <w:rsid w:val="00C81B1E"/>
    <w:rsid w:val="00C81DF9"/>
    <w:rsid w:val="00C82BA3"/>
    <w:rsid w:val="00C8362C"/>
    <w:rsid w:val="00C843DB"/>
    <w:rsid w:val="00C8501B"/>
    <w:rsid w:val="00C8599C"/>
    <w:rsid w:val="00C85C91"/>
    <w:rsid w:val="00C860E5"/>
    <w:rsid w:val="00C86BC9"/>
    <w:rsid w:val="00C870E2"/>
    <w:rsid w:val="00C90A99"/>
    <w:rsid w:val="00C917CA"/>
    <w:rsid w:val="00C92B0E"/>
    <w:rsid w:val="00C94845"/>
    <w:rsid w:val="00C95251"/>
    <w:rsid w:val="00C9649F"/>
    <w:rsid w:val="00C9688A"/>
    <w:rsid w:val="00C97E98"/>
    <w:rsid w:val="00CA03D1"/>
    <w:rsid w:val="00CA0516"/>
    <w:rsid w:val="00CA0AB9"/>
    <w:rsid w:val="00CA0E1E"/>
    <w:rsid w:val="00CA19C2"/>
    <w:rsid w:val="00CA1CFB"/>
    <w:rsid w:val="00CA1E89"/>
    <w:rsid w:val="00CA1EF4"/>
    <w:rsid w:val="00CA2F11"/>
    <w:rsid w:val="00CA33A0"/>
    <w:rsid w:val="00CA3F2F"/>
    <w:rsid w:val="00CA46D4"/>
    <w:rsid w:val="00CA5DEC"/>
    <w:rsid w:val="00CA5F2F"/>
    <w:rsid w:val="00CA5F68"/>
    <w:rsid w:val="00CA6F87"/>
    <w:rsid w:val="00CA77B8"/>
    <w:rsid w:val="00CA7FEA"/>
    <w:rsid w:val="00CB0026"/>
    <w:rsid w:val="00CB1485"/>
    <w:rsid w:val="00CB1DCB"/>
    <w:rsid w:val="00CB387E"/>
    <w:rsid w:val="00CB393A"/>
    <w:rsid w:val="00CB3D57"/>
    <w:rsid w:val="00CB5D80"/>
    <w:rsid w:val="00CB6021"/>
    <w:rsid w:val="00CB6569"/>
    <w:rsid w:val="00CC1459"/>
    <w:rsid w:val="00CC1D5D"/>
    <w:rsid w:val="00CC2FF4"/>
    <w:rsid w:val="00CC39B2"/>
    <w:rsid w:val="00CC3FBA"/>
    <w:rsid w:val="00CC44F5"/>
    <w:rsid w:val="00CC4CED"/>
    <w:rsid w:val="00CC50C6"/>
    <w:rsid w:val="00CC659B"/>
    <w:rsid w:val="00CC6B7E"/>
    <w:rsid w:val="00CC6C8F"/>
    <w:rsid w:val="00CC6F31"/>
    <w:rsid w:val="00CC7141"/>
    <w:rsid w:val="00CD0ACA"/>
    <w:rsid w:val="00CD217A"/>
    <w:rsid w:val="00CD3E66"/>
    <w:rsid w:val="00CD45B9"/>
    <w:rsid w:val="00CD4AEE"/>
    <w:rsid w:val="00CD62D6"/>
    <w:rsid w:val="00CD6969"/>
    <w:rsid w:val="00CD74B0"/>
    <w:rsid w:val="00CD763E"/>
    <w:rsid w:val="00CD783F"/>
    <w:rsid w:val="00CD7D43"/>
    <w:rsid w:val="00CE1049"/>
    <w:rsid w:val="00CE1EC8"/>
    <w:rsid w:val="00CE3568"/>
    <w:rsid w:val="00CE3C5B"/>
    <w:rsid w:val="00CE3D90"/>
    <w:rsid w:val="00CE3E73"/>
    <w:rsid w:val="00CE3F65"/>
    <w:rsid w:val="00CE4882"/>
    <w:rsid w:val="00CE529C"/>
    <w:rsid w:val="00CF0265"/>
    <w:rsid w:val="00CF29FD"/>
    <w:rsid w:val="00CF450A"/>
    <w:rsid w:val="00CF4F44"/>
    <w:rsid w:val="00CF4F83"/>
    <w:rsid w:val="00CF577C"/>
    <w:rsid w:val="00CF5A47"/>
    <w:rsid w:val="00CF5BB1"/>
    <w:rsid w:val="00CF74DD"/>
    <w:rsid w:val="00CF75B6"/>
    <w:rsid w:val="00CF75ED"/>
    <w:rsid w:val="00CF7A7F"/>
    <w:rsid w:val="00D00AA9"/>
    <w:rsid w:val="00D00C07"/>
    <w:rsid w:val="00D01C60"/>
    <w:rsid w:val="00D026CB"/>
    <w:rsid w:val="00D0300B"/>
    <w:rsid w:val="00D03015"/>
    <w:rsid w:val="00D04577"/>
    <w:rsid w:val="00D04A34"/>
    <w:rsid w:val="00D0554D"/>
    <w:rsid w:val="00D06DC3"/>
    <w:rsid w:val="00D10953"/>
    <w:rsid w:val="00D1316D"/>
    <w:rsid w:val="00D133EC"/>
    <w:rsid w:val="00D145FF"/>
    <w:rsid w:val="00D14B6D"/>
    <w:rsid w:val="00D1510A"/>
    <w:rsid w:val="00D15BB1"/>
    <w:rsid w:val="00D16DE1"/>
    <w:rsid w:val="00D17070"/>
    <w:rsid w:val="00D173F9"/>
    <w:rsid w:val="00D20541"/>
    <w:rsid w:val="00D20BCD"/>
    <w:rsid w:val="00D21D89"/>
    <w:rsid w:val="00D222B2"/>
    <w:rsid w:val="00D22C5B"/>
    <w:rsid w:val="00D23835"/>
    <w:rsid w:val="00D24607"/>
    <w:rsid w:val="00D24EC6"/>
    <w:rsid w:val="00D25BDE"/>
    <w:rsid w:val="00D26019"/>
    <w:rsid w:val="00D2646C"/>
    <w:rsid w:val="00D26B17"/>
    <w:rsid w:val="00D308A8"/>
    <w:rsid w:val="00D30AA0"/>
    <w:rsid w:val="00D313A7"/>
    <w:rsid w:val="00D318A6"/>
    <w:rsid w:val="00D3237D"/>
    <w:rsid w:val="00D326B2"/>
    <w:rsid w:val="00D33E0A"/>
    <w:rsid w:val="00D34601"/>
    <w:rsid w:val="00D36455"/>
    <w:rsid w:val="00D37118"/>
    <w:rsid w:val="00D37291"/>
    <w:rsid w:val="00D37EBA"/>
    <w:rsid w:val="00D408DC"/>
    <w:rsid w:val="00D40E4D"/>
    <w:rsid w:val="00D41C97"/>
    <w:rsid w:val="00D41CC5"/>
    <w:rsid w:val="00D41D9D"/>
    <w:rsid w:val="00D42124"/>
    <w:rsid w:val="00D42C1B"/>
    <w:rsid w:val="00D431F1"/>
    <w:rsid w:val="00D4408E"/>
    <w:rsid w:val="00D4469E"/>
    <w:rsid w:val="00D4470E"/>
    <w:rsid w:val="00D44892"/>
    <w:rsid w:val="00D44B87"/>
    <w:rsid w:val="00D45516"/>
    <w:rsid w:val="00D45F87"/>
    <w:rsid w:val="00D4609F"/>
    <w:rsid w:val="00D465CE"/>
    <w:rsid w:val="00D46733"/>
    <w:rsid w:val="00D46CB4"/>
    <w:rsid w:val="00D479D9"/>
    <w:rsid w:val="00D47A97"/>
    <w:rsid w:val="00D50CD7"/>
    <w:rsid w:val="00D50F7B"/>
    <w:rsid w:val="00D51F2B"/>
    <w:rsid w:val="00D5325C"/>
    <w:rsid w:val="00D53DF2"/>
    <w:rsid w:val="00D54333"/>
    <w:rsid w:val="00D54F60"/>
    <w:rsid w:val="00D55B1B"/>
    <w:rsid w:val="00D56E8D"/>
    <w:rsid w:val="00D5774A"/>
    <w:rsid w:val="00D603CA"/>
    <w:rsid w:val="00D6108D"/>
    <w:rsid w:val="00D61584"/>
    <w:rsid w:val="00D61696"/>
    <w:rsid w:val="00D61AFA"/>
    <w:rsid w:val="00D6223C"/>
    <w:rsid w:val="00D62704"/>
    <w:rsid w:val="00D6359E"/>
    <w:rsid w:val="00D639EF"/>
    <w:rsid w:val="00D63B17"/>
    <w:rsid w:val="00D63EFE"/>
    <w:rsid w:val="00D64AFF"/>
    <w:rsid w:val="00D64DE5"/>
    <w:rsid w:val="00D64F75"/>
    <w:rsid w:val="00D666C4"/>
    <w:rsid w:val="00D66D3E"/>
    <w:rsid w:val="00D670F5"/>
    <w:rsid w:val="00D673D0"/>
    <w:rsid w:val="00D6754B"/>
    <w:rsid w:val="00D67554"/>
    <w:rsid w:val="00D70D87"/>
    <w:rsid w:val="00D726CA"/>
    <w:rsid w:val="00D72B52"/>
    <w:rsid w:val="00D746BF"/>
    <w:rsid w:val="00D74710"/>
    <w:rsid w:val="00D74A07"/>
    <w:rsid w:val="00D74ADD"/>
    <w:rsid w:val="00D7520F"/>
    <w:rsid w:val="00D75611"/>
    <w:rsid w:val="00D76D7C"/>
    <w:rsid w:val="00D76F07"/>
    <w:rsid w:val="00D7742D"/>
    <w:rsid w:val="00D81145"/>
    <w:rsid w:val="00D81A94"/>
    <w:rsid w:val="00D82491"/>
    <w:rsid w:val="00D8388F"/>
    <w:rsid w:val="00D83C4F"/>
    <w:rsid w:val="00D847F1"/>
    <w:rsid w:val="00D84D92"/>
    <w:rsid w:val="00D867F5"/>
    <w:rsid w:val="00D86E63"/>
    <w:rsid w:val="00D876EC"/>
    <w:rsid w:val="00D87915"/>
    <w:rsid w:val="00D90984"/>
    <w:rsid w:val="00D909FF"/>
    <w:rsid w:val="00D918A9"/>
    <w:rsid w:val="00D91928"/>
    <w:rsid w:val="00D923AC"/>
    <w:rsid w:val="00D934AF"/>
    <w:rsid w:val="00D9420C"/>
    <w:rsid w:val="00D94554"/>
    <w:rsid w:val="00D9750F"/>
    <w:rsid w:val="00DA0DB9"/>
    <w:rsid w:val="00DA14F4"/>
    <w:rsid w:val="00DA1A4B"/>
    <w:rsid w:val="00DA1A59"/>
    <w:rsid w:val="00DA1F31"/>
    <w:rsid w:val="00DA3AA9"/>
    <w:rsid w:val="00DA3B8E"/>
    <w:rsid w:val="00DA6994"/>
    <w:rsid w:val="00DB01FD"/>
    <w:rsid w:val="00DB0649"/>
    <w:rsid w:val="00DB2030"/>
    <w:rsid w:val="00DB2074"/>
    <w:rsid w:val="00DB262D"/>
    <w:rsid w:val="00DB3931"/>
    <w:rsid w:val="00DB5577"/>
    <w:rsid w:val="00DB5E1D"/>
    <w:rsid w:val="00DB6060"/>
    <w:rsid w:val="00DB6715"/>
    <w:rsid w:val="00DB6841"/>
    <w:rsid w:val="00DB745C"/>
    <w:rsid w:val="00DC002B"/>
    <w:rsid w:val="00DC1473"/>
    <w:rsid w:val="00DC166E"/>
    <w:rsid w:val="00DC2068"/>
    <w:rsid w:val="00DC244A"/>
    <w:rsid w:val="00DC268D"/>
    <w:rsid w:val="00DC3032"/>
    <w:rsid w:val="00DC357A"/>
    <w:rsid w:val="00DC5308"/>
    <w:rsid w:val="00DC6D5B"/>
    <w:rsid w:val="00DC6F45"/>
    <w:rsid w:val="00DC6FAD"/>
    <w:rsid w:val="00DC72D4"/>
    <w:rsid w:val="00DC7FFC"/>
    <w:rsid w:val="00DD014D"/>
    <w:rsid w:val="00DD0192"/>
    <w:rsid w:val="00DD08B0"/>
    <w:rsid w:val="00DD1FF7"/>
    <w:rsid w:val="00DD248E"/>
    <w:rsid w:val="00DD340C"/>
    <w:rsid w:val="00DD3986"/>
    <w:rsid w:val="00DD3F34"/>
    <w:rsid w:val="00DD451C"/>
    <w:rsid w:val="00DD4880"/>
    <w:rsid w:val="00DD4C10"/>
    <w:rsid w:val="00DD4F30"/>
    <w:rsid w:val="00DD56D2"/>
    <w:rsid w:val="00DD6033"/>
    <w:rsid w:val="00DD7222"/>
    <w:rsid w:val="00DD7456"/>
    <w:rsid w:val="00DE02AA"/>
    <w:rsid w:val="00DE0CA7"/>
    <w:rsid w:val="00DE100D"/>
    <w:rsid w:val="00DE161D"/>
    <w:rsid w:val="00DE175E"/>
    <w:rsid w:val="00DE1DCF"/>
    <w:rsid w:val="00DE24BE"/>
    <w:rsid w:val="00DE4393"/>
    <w:rsid w:val="00DE4C1C"/>
    <w:rsid w:val="00DE4FA6"/>
    <w:rsid w:val="00DE5A78"/>
    <w:rsid w:val="00DE60AA"/>
    <w:rsid w:val="00DE6A53"/>
    <w:rsid w:val="00DE6F0E"/>
    <w:rsid w:val="00DE72B9"/>
    <w:rsid w:val="00DF1C6A"/>
    <w:rsid w:val="00DF1DB1"/>
    <w:rsid w:val="00DF2113"/>
    <w:rsid w:val="00DF2BD1"/>
    <w:rsid w:val="00DF2E3C"/>
    <w:rsid w:val="00DF37D8"/>
    <w:rsid w:val="00DF3C1F"/>
    <w:rsid w:val="00DF44B5"/>
    <w:rsid w:val="00DF5C6E"/>
    <w:rsid w:val="00DF61C4"/>
    <w:rsid w:val="00DF6E9D"/>
    <w:rsid w:val="00E01261"/>
    <w:rsid w:val="00E0158D"/>
    <w:rsid w:val="00E0192A"/>
    <w:rsid w:val="00E024D2"/>
    <w:rsid w:val="00E02856"/>
    <w:rsid w:val="00E03DD2"/>
    <w:rsid w:val="00E048F0"/>
    <w:rsid w:val="00E04CB5"/>
    <w:rsid w:val="00E06527"/>
    <w:rsid w:val="00E06F72"/>
    <w:rsid w:val="00E103C0"/>
    <w:rsid w:val="00E10CE6"/>
    <w:rsid w:val="00E10F72"/>
    <w:rsid w:val="00E11EF8"/>
    <w:rsid w:val="00E12870"/>
    <w:rsid w:val="00E133A8"/>
    <w:rsid w:val="00E13A3D"/>
    <w:rsid w:val="00E14059"/>
    <w:rsid w:val="00E1411C"/>
    <w:rsid w:val="00E154B5"/>
    <w:rsid w:val="00E15B42"/>
    <w:rsid w:val="00E16BB2"/>
    <w:rsid w:val="00E170A5"/>
    <w:rsid w:val="00E17DB9"/>
    <w:rsid w:val="00E2090A"/>
    <w:rsid w:val="00E20D18"/>
    <w:rsid w:val="00E213E2"/>
    <w:rsid w:val="00E215CF"/>
    <w:rsid w:val="00E2280B"/>
    <w:rsid w:val="00E22F70"/>
    <w:rsid w:val="00E231E6"/>
    <w:rsid w:val="00E237C2"/>
    <w:rsid w:val="00E24731"/>
    <w:rsid w:val="00E25B9A"/>
    <w:rsid w:val="00E26482"/>
    <w:rsid w:val="00E26B04"/>
    <w:rsid w:val="00E271D6"/>
    <w:rsid w:val="00E2728F"/>
    <w:rsid w:val="00E27B65"/>
    <w:rsid w:val="00E27C91"/>
    <w:rsid w:val="00E27EEE"/>
    <w:rsid w:val="00E31F66"/>
    <w:rsid w:val="00E32834"/>
    <w:rsid w:val="00E32B27"/>
    <w:rsid w:val="00E32CD2"/>
    <w:rsid w:val="00E3383E"/>
    <w:rsid w:val="00E33FFF"/>
    <w:rsid w:val="00E343C5"/>
    <w:rsid w:val="00E34BF9"/>
    <w:rsid w:val="00E36C32"/>
    <w:rsid w:val="00E3762D"/>
    <w:rsid w:val="00E376C8"/>
    <w:rsid w:val="00E37B3E"/>
    <w:rsid w:val="00E37ECE"/>
    <w:rsid w:val="00E40069"/>
    <w:rsid w:val="00E40407"/>
    <w:rsid w:val="00E40719"/>
    <w:rsid w:val="00E418A8"/>
    <w:rsid w:val="00E419B9"/>
    <w:rsid w:val="00E42E25"/>
    <w:rsid w:val="00E438D4"/>
    <w:rsid w:val="00E43D06"/>
    <w:rsid w:val="00E43D0A"/>
    <w:rsid w:val="00E4485A"/>
    <w:rsid w:val="00E450E4"/>
    <w:rsid w:val="00E462C8"/>
    <w:rsid w:val="00E470C9"/>
    <w:rsid w:val="00E47BA3"/>
    <w:rsid w:val="00E47C30"/>
    <w:rsid w:val="00E47CC8"/>
    <w:rsid w:val="00E47D17"/>
    <w:rsid w:val="00E51DAB"/>
    <w:rsid w:val="00E51E5C"/>
    <w:rsid w:val="00E53F22"/>
    <w:rsid w:val="00E557A4"/>
    <w:rsid w:val="00E571D6"/>
    <w:rsid w:val="00E575C4"/>
    <w:rsid w:val="00E61D25"/>
    <w:rsid w:val="00E621E4"/>
    <w:rsid w:val="00E62C2A"/>
    <w:rsid w:val="00E63BF6"/>
    <w:rsid w:val="00E64303"/>
    <w:rsid w:val="00E644F8"/>
    <w:rsid w:val="00E65136"/>
    <w:rsid w:val="00E65D8C"/>
    <w:rsid w:val="00E66229"/>
    <w:rsid w:val="00E6690D"/>
    <w:rsid w:val="00E67D30"/>
    <w:rsid w:val="00E70991"/>
    <w:rsid w:val="00E71278"/>
    <w:rsid w:val="00E720D9"/>
    <w:rsid w:val="00E73B7B"/>
    <w:rsid w:val="00E7613F"/>
    <w:rsid w:val="00E76304"/>
    <w:rsid w:val="00E76700"/>
    <w:rsid w:val="00E769C8"/>
    <w:rsid w:val="00E773D4"/>
    <w:rsid w:val="00E82398"/>
    <w:rsid w:val="00E8548A"/>
    <w:rsid w:val="00E86EAD"/>
    <w:rsid w:val="00E871D0"/>
    <w:rsid w:val="00E874ED"/>
    <w:rsid w:val="00E87784"/>
    <w:rsid w:val="00E91728"/>
    <w:rsid w:val="00E91767"/>
    <w:rsid w:val="00E93222"/>
    <w:rsid w:val="00E937FE"/>
    <w:rsid w:val="00E96C2B"/>
    <w:rsid w:val="00E97316"/>
    <w:rsid w:val="00E9767E"/>
    <w:rsid w:val="00EA3645"/>
    <w:rsid w:val="00EA42E4"/>
    <w:rsid w:val="00EA4E83"/>
    <w:rsid w:val="00EA77A6"/>
    <w:rsid w:val="00EA784D"/>
    <w:rsid w:val="00EA791F"/>
    <w:rsid w:val="00EA7C1E"/>
    <w:rsid w:val="00EA7DCD"/>
    <w:rsid w:val="00EA7E07"/>
    <w:rsid w:val="00EB03BC"/>
    <w:rsid w:val="00EB0B57"/>
    <w:rsid w:val="00EB0C9C"/>
    <w:rsid w:val="00EB16C1"/>
    <w:rsid w:val="00EB2F49"/>
    <w:rsid w:val="00EB3801"/>
    <w:rsid w:val="00EB3B59"/>
    <w:rsid w:val="00EB4637"/>
    <w:rsid w:val="00EB5E7B"/>
    <w:rsid w:val="00EB63F6"/>
    <w:rsid w:val="00EB6583"/>
    <w:rsid w:val="00EB6C2F"/>
    <w:rsid w:val="00EB6D1F"/>
    <w:rsid w:val="00EB6E14"/>
    <w:rsid w:val="00EC176B"/>
    <w:rsid w:val="00EC206B"/>
    <w:rsid w:val="00EC3F9D"/>
    <w:rsid w:val="00EC4904"/>
    <w:rsid w:val="00EC5052"/>
    <w:rsid w:val="00EC60E4"/>
    <w:rsid w:val="00EC61EE"/>
    <w:rsid w:val="00EC745D"/>
    <w:rsid w:val="00EC76E1"/>
    <w:rsid w:val="00EC7FA4"/>
    <w:rsid w:val="00ED0065"/>
    <w:rsid w:val="00ED0345"/>
    <w:rsid w:val="00ED0CC3"/>
    <w:rsid w:val="00ED1AB5"/>
    <w:rsid w:val="00ED1FF9"/>
    <w:rsid w:val="00ED203F"/>
    <w:rsid w:val="00ED2550"/>
    <w:rsid w:val="00ED2FBF"/>
    <w:rsid w:val="00ED4FEC"/>
    <w:rsid w:val="00ED5FDA"/>
    <w:rsid w:val="00ED692C"/>
    <w:rsid w:val="00ED6D52"/>
    <w:rsid w:val="00ED764C"/>
    <w:rsid w:val="00ED7896"/>
    <w:rsid w:val="00EE0F16"/>
    <w:rsid w:val="00EE1273"/>
    <w:rsid w:val="00EE18C4"/>
    <w:rsid w:val="00EE2111"/>
    <w:rsid w:val="00EE40EC"/>
    <w:rsid w:val="00EE4D90"/>
    <w:rsid w:val="00EE4E2E"/>
    <w:rsid w:val="00EE5A35"/>
    <w:rsid w:val="00EE5D1E"/>
    <w:rsid w:val="00EE5D35"/>
    <w:rsid w:val="00EE6FB1"/>
    <w:rsid w:val="00EE7A9C"/>
    <w:rsid w:val="00EF02F1"/>
    <w:rsid w:val="00EF09B8"/>
    <w:rsid w:val="00EF0B8F"/>
    <w:rsid w:val="00EF0D09"/>
    <w:rsid w:val="00EF2264"/>
    <w:rsid w:val="00EF2710"/>
    <w:rsid w:val="00EF3941"/>
    <w:rsid w:val="00EF3B4E"/>
    <w:rsid w:val="00EF42E0"/>
    <w:rsid w:val="00EF451C"/>
    <w:rsid w:val="00EF4B67"/>
    <w:rsid w:val="00EF4DCE"/>
    <w:rsid w:val="00EF4ECF"/>
    <w:rsid w:val="00EF534A"/>
    <w:rsid w:val="00EF6D1D"/>
    <w:rsid w:val="00EF78E8"/>
    <w:rsid w:val="00EF7B45"/>
    <w:rsid w:val="00F00FF2"/>
    <w:rsid w:val="00F011BB"/>
    <w:rsid w:val="00F01E2B"/>
    <w:rsid w:val="00F02C2F"/>
    <w:rsid w:val="00F02CD0"/>
    <w:rsid w:val="00F03D83"/>
    <w:rsid w:val="00F04330"/>
    <w:rsid w:val="00F04DE3"/>
    <w:rsid w:val="00F0547B"/>
    <w:rsid w:val="00F057E7"/>
    <w:rsid w:val="00F05CB8"/>
    <w:rsid w:val="00F06F85"/>
    <w:rsid w:val="00F07598"/>
    <w:rsid w:val="00F0763E"/>
    <w:rsid w:val="00F107EB"/>
    <w:rsid w:val="00F111FA"/>
    <w:rsid w:val="00F12C91"/>
    <w:rsid w:val="00F13301"/>
    <w:rsid w:val="00F138FD"/>
    <w:rsid w:val="00F1411F"/>
    <w:rsid w:val="00F145A2"/>
    <w:rsid w:val="00F14724"/>
    <w:rsid w:val="00F14A4B"/>
    <w:rsid w:val="00F158FE"/>
    <w:rsid w:val="00F15D72"/>
    <w:rsid w:val="00F161CD"/>
    <w:rsid w:val="00F166AE"/>
    <w:rsid w:val="00F16AA9"/>
    <w:rsid w:val="00F16E47"/>
    <w:rsid w:val="00F17086"/>
    <w:rsid w:val="00F17995"/>
    <w:rsid w:val="00F17B8C"/>
    <w:rsid w:val="00F21DB9"/>
    <w:rsid w:val="00F22CDA"/>
    <w:rsid w:val="00F23389"/>
    <w:rsid w:val="00F23BA8"/>
    <w:rsid w:val="00F241BF"/>
    <w:rsid w:val="00F24628"/>
    <w:rsid w:val="00F24CCC"/>
    <w:rsid w:val="00F256D1"/>
    <w:rsid w:val="00F25942"/>
    <w:rsid w:val="00F2613B"/>
    <w:rsid w:val="00F27346"/>
    <w:rsid w:val="00F30A6F"/>
    <w:rsid w:val="00F30DCF"/>
    <w:rsid w:val="00F32729"/>
    <w:rsid w:val="00F32CA7"/>
    <w:rsid w:val="00F335B8"/>
    <w:rsid w:val="00F3416E"/>
    <w:rsid w:val="00F34378"/>
    <w:rsid w:val="00F344F0"/>
    <w:rsid w:val="00F347F1"/>
    <w:rsid w:val="00F3686C"/>
    <w:rsid w:val="00F368EA"/>
    <w:rsid w:val="00F36C04"/>
    <w:rsid w:val="00F376F4"/>
    <w:rsid w:val="00F40485"/>
    <w:rsid w:val="00F405ED"/>
    <w:rsid w:val="00F41267"/>
    <w:rsid w:val="00F41F1B"/>
    <w:rsid w:val="00F42206"/>
    <w:rsid w:val="00F424B3"/>
    <w:rsid w:val="00F4253E"/>
    <w:rsid w:val="00F426C9"/>
    <w:rsid w:val="00F435FE"/>
    <w:rsid w:val="00F4507C"/>
    <w:rsid w:val="00F453AC"/>
    <w:rsid w:val="00F5123A"/>
    <w:rsid w:val="00F512AE"/>
    <w:rsid w:val="00F53006"/>
    <w:rsid w:val="00F5351C"/>
    <w:rsid w:val="00F53EFE"/>
    <w:rsid w:val="00F54167"/>
    <w:rsid w:val="00F54B0F"/>
    <w:rsid w:val="00F60431"/>
    <w:rsid w:val="00F60D41"/>
    <w:rsid w:val="00F6217A"/>
    <w:rsid w:val="00F625C9"/>
    <w:rsid w:val="00F62B12"/>
    <w:rsid w:val="00F63B20"/>
    <w:rsid w:val="00F6552C"/>
    <w:rsid w:val="00F65533"/>
    <w:rsid w:val="00F65CA3"/>
    <w:rsid w:val="00F6649F"/>
    <w:rsid w:val="00F67954"/>
    <w:rsid w:val="00F71048"/>
    <w:rsid w:val="00F71C0C"/>
    <w:rsid w:val="00F7280C"/>
    <w:rsid w:val="00F72860"/>
    <w:rsid w:val="00F72E7E"/>
    <w:rsid w:val="00F74363"/>
    <w:rsid w:val="00F750C9"/>
    <w:rsid w:val="00F75120"/>
    <w:rsid w:val="00F7741E"/>
    <w:rsid w:val="00F778E5"/>
    <w:rsid w:val="00F77CB7"/>
    <w:rsid w:val="00F77CFE"/>
    <w:rsid w:val="00F80331"/>
    <w:rsid w:val="00F80529"/>
    <w:rsid w:val="00F81956"/>
    <w:rsid w:val="00F81C38"/>
    <w:rsid w:val="00F81C5F"/>
    <w:rsid w:val="00F81F5F"/>
    <w:rsid w:val="00F829EF"/>
    <w:rsid w:val="00F83187"/>
    <w:rsid w:val="00F834D4"/>
    <w:rsid w:val="00F844D0"/>
    <w:rsid w:val="00F848A1"/>
    <w:rsid w:val="00F84B08"/>
    <w:rsid w:val="00F85CAC"/>
    <w:rsid w:val="00F86203"/>
    <w:rsid w:val="00F86EEE"/>
    <w:rsid w:val="00F87672"/>
    <w:rsid w:val="00F87736"/>
    <w:rsid w:val="00F87F37"/>
    <w:rsid w:val="00F91EFA"/>
    <w:rsid w:val="00F9263E"/>
    <w:rsid w:val="00F9280C"/>
    <w:rsid w:val="00F93117"/>
    <w:rsid w:val="00F94ADD"/>
    <w:rsid w:val="00F96AA8"/>
    <w:rsid w:val="00FA0056"/>
    <w:rsid w:val="00FA0568"/>
    <w:rsid w:val="00FA170F"/>
    <w:rsid w:val="00FA37F5"/>
    <w:rsid w:val="00FA3EF8"/>
    <w:rsid w:val="00FA4D4A"/>
    <w:rsid w:val="00FA59BA"/>
    <w:rsid w:val="00FA6AC4"/>
    <w:rsid w:val="00FA6C37"/>
    <w:rsid w:val="00FA72F7"/>
    <w:rsid w:val="00FA7A9C"/>
    <w:rsid w:val="00FA7BDD"/>
    <w:rsid w:val="00FB086A"/>
    <w:rsid w:val="00FB0C7C"/>
    <w:rsid w:val="00FB0F42"/>
    <w:rsid w:val="00FB11D0"/>
    <w:rsid w:val="00FB2AC0"/>
    <w:rsid w:val="00FB332D"/>
    <w:rsid w:val="00FB33E2"/>
    <w:rsid w:val="00FB500D"/>
    <w:rsid w:val="00FB5346"/>
    <w:rsid w:val="00FB5708"/>
    <w:rsid w:val="00FB5DE0"/>
    <w:rsid w:val="00FB6863"/>
    <w:rsid w:val="00FB71D7"/>
    <w:rsid w:val="00FC0600"/>
    <w:rsid w:val="00FC098F"/>
    <w:rsid w:val="00FC44CA"/>
    <w:rsid w:val="00FC5051"/>
    <w:rsid w:val="00FC51BE"/>
    <w:rsid w:val="00FC5E8C"/>
    <w:rsid w:val="00FC7659"/>
    <w:rsid w:val="00FC7A07"/>
    <w:rsid w:val="00FD03AF"/>
    <w:rsid w:val="00FD04C8"/>
    <w:rsid w:val="00FD0E6D"/>
    <w:rsid w:val="00FD10B3"/>
    <w:rsid w:val="00FD1163"/>
    <w:rsid w:val="00FD2B31"/>
    <w:rsid w:val="00FD3AA5"/>
    <w:rsid w:val="00FD3FB6"/>
    <w:rsid w:val="00FD4C9B"/>
    <w:rsid w:val="00FD5782"/>
    <w:rsid w:val="00FD6AF2"/>
    <w:rsid w:val="00FD711F"/>
    <w:rsid w:val="00FD7608"/>
    <w:rsid w:val="00FD7890"/>
    <w:rsid w:val="00FE07DA"/>
    <w:rsid w:val="00FE1788"/>
    <w:rsid w:val="00FE24E2"/>
    <w:rsid w:val="00FE2569"/>
    <w:rsid w:val="00FE2FF0"/>
    <w:rsid w:val="00FE3F9E"/>
    <w:rsid w:val="00FE41CF"/>
    <w:rsid w:val="00FE5C5D"/>
    <w:rsid w:val="00FE6DB7"/>
    <w:rsid w:val="00FE746A"/>
    <w:rsid w:val="00FE7D67"/>
    <w:rsid w:val="00FE7E07"/>
    <w:rsid w:val="00FF0F8F"/>
    <w:rsid w:val="00FF3A58"/>
    <w:rsid w:val="00FF55E3"/>
    <w:rsid w:val="00FF6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DC3C9"/>
  <w15:chartTrackingRefBased/>
  <w15:docId w15:val="{7EBDAC31-03DF-44E0-820E-785AB100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AC1"/>
    <w:rPr>
      <w:spacing w:val="-3"/>
      <w:sz w:val="24"/>
    </w:rPr>
  </w:style>
  <w:style w:type="paragraph" w:styleId="Heading1">
    <w:name w:val="heading 1"/>
    <w:basedOn w:val="Normal"/>
    <w:next w:val="Normal2"/>
    <w:link w:val="Heading1Char"/>
    <w:autoRedefine/>
    <w:qFormat/>
    <w:rsid w:val="00E47BA3"/>
    <w:pPr>
      <w:keepNext/>
      <w:widowControl w:val="0"/>
      <w:autoSpaceDE w:val="0"/>
      <w:autoSpaceDN w:val="0"/>
      <w:adjustRightInd w:val="0"/>
      <w:spacing w:before="240" w:after="240"/>
      <w:jc w:val="both"/>
      <w:outlineLvl w:val="0"/>
    </w:pPr>
    <w:rPr>
      <w:rFonts w:cs="Arial"/>
      <w:b/>
      <w:bCs/>
      <w:kern w:val="32"/>
      <w:szCs w:val="32"/>
    </w:rPr>
  </w:style>
  <w:style w:type="paragraph" w:styleId="Heading2">
    <w:name w:val="heading 2"/>
    <w:basedOn w:val="Normal"/>
    <w:next w:val="Normal2"/>
    <w:link w:val="Heading2Char"/>
    <w:autoRedefine/>
    <w:qFormat/>
    <w:rsid w:val="000F0219"/>
    <w:pPr>
      <w:keepNext/>
      <w:widowControl w:val="0"/>
      <w:autoSpaceDE w:val="0"/>
      <w:autoSpaceDN w:val="0"/>
      <w:adjustRightInd w:val="0"/>
      <w:spacing w:before="240" w:after="480"/>
      <w:ind w:left="726"/>
      <w:jc w:val="both"/>
      <w:outlineLvl w:val="1"/>
    </w:pPr>
    <w:rPr>
      <w:rFonts w:cs="Arial"/>
      <w:b/>
      <w:bCs/>
      <w:i/>
      <w:iCs/>
      <w:szCs w:val="28"/>
    </w:rPr>
  </w:style>
  <w:style w:type="paragraph" w:styleId="Heading3">
    <w:name w:val="heading 3"/>
    <w:basedOn w:val="Normal"/>
    <w:next w:val="Normal2"/>
    <w:link w:val="Heading3Char"/>
    <w:autoRedefine/>
    <w:qFormat/>
    <w:rsid w:val="004E2308"/>
    <w:pPr>
      <w:keepNext/>
      <w:spacing w:before="240" w:after="240"/>
      <w:ind w:left="1440"/>
      <w:outlineLvl w:val="2"/>
    </w:pPr>
    <w:rPr>
      <w:b/>
    </w:rPr>
  </w:style>
  <w:style w:type="paragraph" w:styleId="Heading4">
    <w:name w:val="heading 4"/>
    <w:basedOn w:val="Normal"/>
    <w:next w:val="Normal2"/>
    <w:link w:val="Heading4Char"/>
    <w:autoRedefine/>
    <w:qFormat/>
    <w:rsid w:val="005A15E5"/>
    <w:pPr>
      <w:keepNext/>
      <w:spacing w:before="120" w:after="120"/>
      <w:ind w:left="2126"/>
      <w:outlineLvl w:val="3"/>
    </w:pPr>
    <w:rPr>
      <w:rFonts w:asciiTheme="minorHAnsi" w:hAnsiTheme="minorHAnsi" w:cstheme="minorBidi"/>
      <w:b/>
      <w:i/>
      <w:szCs w:val="22"/>
    </w:rPr>
  </w:style>
  <w:style w:type="paragraph" w:styleId="Heading5">
    <w:name w:val="heading 5"/>
    <w:basedOn w:val="Normal"/>
    <w:next w:val="Normal"/>
    <w:link w:val="Heading5Char"/>
    <w:qFormat/>
    <w:rsid w:val="004E2308"/>
    <w:pPr>
      <w:numPr>
        <w:ilvl w:val="4"/>
        <w:numId w:val="1"/>
      </w:num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qFormat/>
    <w:rsid w:val="004E2308"/>
    <w:pPr>
      <w:spacing w:before="120" w:after="120"/>
      <w:jc w:val="both"/>
    </w:pPr>
  </w:style>
  <w:style w:type="paragraph" w:customStyle="1" w:styleId="Consult">
    <w:name w:val="Consult"/>
    <w:basedOn w:val="Normal2"/>
    <w:next w:val="Normal2"/>
    <w:rsid w:val="004E2308"/>
    <w:pPr>
      <w:ind w:left="720" w:hanging="720"/>
    </w:pPr>
    <w:rPr>
      <w:rFonts w:ascii="Arial" w:hAnsi="Arial"/>
    </w:rPr>
  </w:style>
  <w:style w:type="paragraph" w:customStyle="1" w:styleId="Consult2">
    <w:name w:val="Consult2"/>
    <w:basedOn w:val="Consult"/>
    <w:next w:val="Normal2"/>
    <w:autoRedefine/>
    <w:rsid w:val="004E2308"/>
    <w:pPr>
      <w:ind w:firstLine="0"/>
    </w:pPr>
    <w:rPr>
      <w:sz w:val="20"/>
    </w:rPr>
  </w:style>
  <w:style w:type="paragraph" w:styleId="Footer">
    <w:name w:val="footer"/>
    <w:basedOn w:val="Normal"/>
    <w:link w:val="FooterChar"/>
    <w:uiPriority w:val="99"/>
    <w:rsid w:val="004E2308"/>
    <w:pPr>
      <w:tabs>
        <w:tab w:val="center" w:pos="4320"/>
        <w:tab w:val="right" w:pos="8640"/>
      </w:tabs>
    </w:pPr>
  </w:style>
  <w:style w:type="character" w:customStyle="1" w:styleId="FooterChar">
    <w:name w:val="Footer Char"/>
    <w:basedOn w:val="DefaultParagraphFont"/>
    <w:link w:val="Footer"/>
    <w:uiPriority w:val="99"/>
    <w:rsid w:val="002C5BC8"/>
    <w:rPr>
      <w:rFonts w:ascii="Times New Roman" w:hAnsi="Times New Roman" w:cs="Times New Roman"/>
      <w:sz w:val="24"/>
      <w:szCs w:val="20"/>
      <w:lang w:eastAsia="en-GB"/>
    </w:rPr>
  </w:style>
  <w:style w:type="paragraph" w:styleId="Header">
    <w:name w:val="header"/>
    <w:basedOn w:val="Normal"/>
    <w:link w:val="HeaderChar"/>
    <w:rsid w:val="004E2308"/>
    <w:pPr>
      <w:tabs>
        <w:tab w:val="center" w:pos="4320"/>
        <w:tab w:val="right" w:pos="8640"/>
      </w:tabs>
    </w:pPr>
  </w:style>
  <w:style w:type="character" w:customStyle="1" w:styleId="HeaderChar">
    <w:name w:val="Header Char"/>
    <w:basedOn w:val="DefaultParagraphFont"/>
    <w:link w:val="Header"/>
    <w:rsid w:val="002C5BC8"/>
    <w:rPr>
      <w:rFonts w:ascii="Times New Roman" w:hAnsi="Times New Roman" w:cs="Times New Roman"/>
      <w:sz w:val="24"/>
      <w:szCs w:val="20"/>
      <w:lang w:eastAsia="en-GB"/>
    </w:rPr>
  </w:style>
  <w:style w:type="character" w:customStyle="1" w:styleId="Heading1Char">
    <w:name w:val="Heading 1 Char"/>
    <w:basedOn w:val="DefaultParagraphFont"/>
    <w:link w:val="Heading1"/>
    <w:rsid w:val="00E47BA3"/>
    <w:rPr>
      <w:rFonts w:cs="Arial"/>
      <w:b/>
      <w:bCs/>
      <w:spacing w:val="-3"/>
      <w:kern w:val="32"/>
      <w:sz w:val="24"/>
      <w:szCs w:val="32"/>
    </w:rPr>
  </w:style>
  <w:style w:type="character" w:customStyle="1" w:styleId="Heading2Char">
    <w:name w:val="Heading 2 Char"/>
    <w:basedOn w:val="DefaultParagraphFont"/>
    <w:link w:val="Heading2"/>
    <w:rsid w:val="000F0219"/>
    <w:rPr>
      <w:rFonts w:cs="Arial"/>
      <w:b/>
      <w:bCs/>
      <w:i/>
      <w:iCs/>
      <w:spacing w:val="-3"/>
      <w:sz w:val="24"/>
      <w:szCs w:val="28"/>
    </w:rPr>
  </w:style>
  <w:style w:type="character" w:customStyle="1" w:styleId="Heading3Char">
    <w:name w:val="Heading 3 Char"/>
    <w:basedOn w:val="DefaultParagraphFont"/>
    <w:link w:val="Heading3"/>
    <w:rsid w:val="002C5BC8"/>
    <w:rPr>
      <w:rFonts w:ascii="Times New Roman" w:hAnsi="Times New Roman" w:cs="Times New Roman"/>
      <w:b/>
      <w:sz w:val="24"/>
      <w:szCs w:val="20"/>
      <w:lang w:eastAsia="en-GB"/>
    </w:rPr>
  </w:style>
  <w:style w:type="character" w:customStyle="1" w:styleId="Heading4Char">
    <w:name w:val="Heading 4 Char"/>
    <w:basedOn w:val="DefaultParagraphFont"/>
    <w:link w:val="Heading4"/>
    <w:rsid w:val="005A15E5"/>
    <w:rPr>
      <w:b/>
      <w:i/>
      <w:sz w:val="24"/>
    </w:rPr>
  </w:style>
  <w:style w:type="character" w:customStyle="1" w:styleId="Heading5Char">
    <w:name w:val="Heading 5 Char"/>
    <w:basedOn w:val="DefaultParagraphFont"/>
    <w:link w:val="Heading5"/>
    <w:rsid w:val="002C5BC8"/>
    <w:rPr>
      <w:rFonts w:ascii="Arial" w:hAnsi="Arial"/>
      <w:spacing w:val="-3"/>
      <w:sz w:val="22"/>
    </w:rPr>
  </w:style>
  <w:style w:type="paragraph" w:customStyle="1" w:styleId="Norm18space">
    <w:name w:val="Norm+18space"/>
    <w:basedOn w:val="Normal"/>
    <w:next w:val="Normal"/>
    <w:rsid w:val="004E2308"/>
    <w:pPr>
      <w:ind w:left="720" w:hanging="720"/>
    </w:pPr>
  </w:style>
  <w:style w:type="paragraph" w:customStyle="1" w:styleId="NormalBk">
    <w:name w:val="Normal_Bk"/>
    <w:basedOn w:val="Normal"/>
    <w:rsid w:val="004E2308"/>
    <w:rPr>
      <w:rFonts w:ascii="Book Antiqua" w:hAnsi="Book Antiqua"/>
    </w:rPr>
  </w:style>
  <w:style w:type="paragraph" w:customStyle="1" w:styleId="NormQuote">
    <w:name w:val="NormQuote"/>
    <w:basedOn w:val="Normal2"/>
    <w:next w:val="Normal2"/>
    <w:autoRedefine/>
    <w:qFormat/>
    <w:rsid w:val="00EF02F1"/>
    <w:pPr>
      <w:spacing w:after="240"/>
      <w:ind w:left="720"/>
    </w:pPr>
    <w:rPr>
      <w:szCs w:val="24"/>
    </w:rPr>
  </w:style>
  <w:style w:type="paragraph" w:customStyle="1" w:styleId="ORDNOQUO">
    <w:name w:val="ORD_NO_QUO"/>
    <w:basedOn w:val="Normal"/>
    <w:rsid w:val="004E2308"/>
    <w:pPr>
      <w:tabs>
        <w:tab w:val="left" w:pos="1440"/>
        <w:tab w:val="left" w:pos="2160"/>
        <w:tab w:val="left" w:pos="2880"/>
        <w:tab w:val="left" w:pos="3600"/>
        <w:tab w:val="left" w:pos="4320"/>
        <w:tab w:val="left" w:pos="5040"/>
        <w:tab w:val="left" w:pos="5760"/>
        <w:tab w:val="left" w:pos="6480"/>
        <w:tab w:val="left" w:pos="7200"/>
        <w:tab w:val="left" w:pos="7920"/>
        <w:tab w:val="right" w:pos="9029"/>
      </w:tabs>
      <w:spacing w:before="120"/>
      <w:ind w:left="1440" w:right="576"/>
      <w:jc w:val="both"/>
    </w:pPr>
  </w:style>
  <w:style w:type="paragraph" w:customStyle="1" w:styleId="ORDINNOSPACE">
    <w:name w:val="ORDIN_NO SPACE"/>
    <w:basedOn w:val="Normal"/>
    <w:rsid w:val="004E23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9"/>
      </w:tabs>
      <w:spacing w:line="480" w:lineRule="auto"/>
      <w:jc w:val="both"/>
    </w:pPr>
  </w:style>
  <w:style w:type="paragraph" w:customStyle="1" w:styleId="ORDINARY">
    <w:name w:val="ORDINARY"/>
    <w:basedOn w:val="Normal"/>
    <w:rsid w:val="004E2308"/>
    <w:pPr>
      <w:tabs>
        <w:tab w:val="left" w:pos="1440"/>
        <w:tab w:val="left" w:pos="2160"/>
        <w:tab w:val="left" w:pos="2880"/>
        <w:tab w:val="left" w:pos="3600"/>
        <w:tab w:val="left" w:pos="4320"/>
        <w:tab w:val="left" w:pos="5040"/>
        <w:tab w:val="left" w:pos="5760"/>
        <w:tab w:val="left" w:pos="6480"/>
        <w:tab w:val="left" w:pos="7200"/>
        <w:tab w:val="left" w:pos="7920"/>
        <w:tab w:val="right" w:pos="9029"/>
      </w:tabs>
      <w:spacing w:before="120" w:after="120" w:line="480" w:lineRule="auto"/>
      <w:jc w:val="both"/>
    </w:pPr>
  </w:style>
  <w:style w:type="paragraph" w:styleId="Title">
    <w:name w:val="Title"/>
    <w:basedOn w:val="Normal"/>
    <w:link w:val="TitleChar"/>
    <w:qFormat/>
    <w:rsid w:val="004E2308"/>
    <w:pPr>
      <w:spacing w:before="180" w:after="180"/>
      <w:jc w:val="center"/>
    </w:pPr>
    <w:rPr>
      <w:rFonts w:ascii="Arial" w:hAnsi="Arial"/>
      <w:b/>
      <w:kern w:val="28"/>
      <w:sz w:val="32"/>
      <w:u w:val="single"/>
    </w:rPr>
  </w:style>
  <w:style w:type="character" w:customStyle="1" w:styleId="TitleChar">
    <w:name w:val="Title Char"/>
    <w:basedOn w:val="DefaultParagraphFont"/>
    <w:link w:val="Title"/>
    <w:rsid w:val="002C5BC8"/>
    <w:rPr>
      <w:rFonts w:ascii="Arial" w:hAnsi="Arial" w:cs="Times New Roman"/>
      <w:b/>
      <w:kern w:val="28"/>
      <w:sz w:val="32"/>
      <w:szCs w:val="20"/>
      <w:u w:val="single"/>
      <w:lang w:eastAsia="en-GB"/>
    </w:rPr>
  </w:style>
  <w:style w:type="paragraph" w:customStyle="1" w:styleId="Title1">
    <w:name w:val="Title1"/>
    <w:basedOn w:val="Normal"/>
    <w:next w:val="Normal"/>
    <w:rsid w:val="004E2308"/>
    <w:pPr>
      <w:tabs>
        <w:tab w:val="right" w:pos="9029"/>
      </w:tabs>
    </w:pPr>
  </w:style>
  <w:style w:type="paragraph" w:styleId="BalloonText">
    <w:name w:val="Balloon Text"/>
    <w:basedOn w:val="Normal"/>
    <w:link w:val="BalloonTextChar"/>
    <w:rsid w:val="004E2308"/>
    <w:rPr>
      <w:rFonts w:ascii="Segoe UI" w:hAnsi="Segoe UI" w:cs="Segoe UI"/>
      <w:sz w:val="18"/>
      <w:szCs w:val="18"/>
    </w:rPr>
  </w:style>
  <w:style w:type="character" w:customStyle="1" w:styleId="BalloonTextChar">
    <w:name w:val="Balloon Text Char"/>
    <w:basedOn w:val="DefaultParagraphFont"/>
    <w:link w:val="BalloonText"/>
    <w:rsid w:val="004E2308"/>
    <w:rPr>
      <w:rFonts w:ascii="Segoe UI" w:hAnsi="Segoe UI" w:cs="Segoe UI"/>
      <w:sz w:val="18"/>
      <w:szCs w:val="18"/>
      <w:lang w:eastAsia="en-GB"/>
    </w:rPr>
  </w:style>
  <w:style w:type="paragraph" w:customStyle="1" w:styleId="CoverDesc">
    <w:name w:val="CoverDesc"/>
    <w:basedOn w:val="Normal"/>
    <w:rsid w:val="004E2308"/>
    <w:pPr>
      <w:jc w:val="center"/>
    </w:pPr>
    <w:rPr>
      <w:b/>
      <w:sz w:val="36"/>
    </w:rPr>
  </w:style>
  <w:style w:type="paragraph" w:customStyle="1" w:styleId="CoverMain">
    <w:name w:val="CoverMain"/>
    <w:basedOn w:val="Normal"/>
    <w:rsid w:val="004E2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u w:val="single"/>
    </w:rPr>
  </w:style>
  <w:style w:type="paragraph" w:customStyle="1" w:styleId="CoverText">
    <w:name w:val="CoverText"/>
    <w:basedOn w:val="Normal"/>
    <w:rsid w:val="004E2308"/>
    <w:pPr>
      <w:jc w:val="right"/>
    </w:pPr>
    <w:rPr>
      <w:u w:val="single"/>
    </w:rPr>
  </w:style>
  <w:style w:type="paragraph" w:customStyle="1" w:styleId="eMailBlock">
    <w:name w:val="eMailBlock"/>
    <w:basedOn w:val="Title"/>
    <w:rsid w:val="004E2308"/>
    <w:rPr>
      <w:sz w:val="26"/>
    </w:rPr>
  </w:style>
  <w:style w:type="character" w:styleId="FootnoteReference">
    <w:name w:val="footnote reference"/>
    <w:basedOn w:val="DefaultParagraphFont"/>
    <w:rsid w:val="004E2308"/>
    <w:rPr>
      <w:vertAlign w:val="superscript"/>
    </w:rPr>
  </w:style>
  <w:style w:type="paragraph" w:styleId="FootnoteText">
    <w:name w:val="footnote text"/>
    <w:basedOn w:val="Normal"/>
    <w:link w:val="FootnoteTextChar"/>
    <w:rsid w:val="004E2308"/>
    <w:rPr>
      <w:sz w:val="20"/>
    </w:rPr>
  </w:style>
  <w:style w:type="character" w:customStyle="1" w:styleId="FootnoteTextChar">
    <w:name w:val="Footnote Text Char"/>
    <w:basedOn w:val="DefaultParagraphFont"/>
    <w:link w:val="FootnoteText"/>
    <w:rsid w:val="004E2308"/>
    <w:rPr>
      <w:rFonts w:ascii="Times New Roman" w:hAnsi="Times New Roman" w:cs="Times New Roman"/>
      <w:sz w:val="20"/>
      <w:szCs w:val="20"/>
      <w:lang w:eastAsia="en-GB"/>
    </w:rPr>
  </w:style>
  <w:style w:type="paragraph" w:customStyle="1" w:styleId="Heading">
    <w:name w:val="Heading"/>
    <w:basedOn w:val="Normal"/>
    <w:next w:val="Heading1"/>
    <w:rsid w:val="004E2308"/>
    <w:pPr>
      <w:keepNext/>
      <w:spacing w:before="240" w:after="240" w:line="480" w:lineRule="auto"/>
    </w:pPr>
  </w:style>
  <w:style w:type="character" w:styleId="Hyperlink">
    <w:name w:val="Hyperlink"/>
    <w:rsid w:val="004E2308"/>
    <w:rPr>
      <w:color w:val="0000FF"/>
      <w:u w:val="single"/>
    </w:rPr>
  </w:style>
  <w:style w:type="paragraph" w:styleId="ListParagraph">
    <w:name w:val="List Paragraph"/>
    <w:basedOn w:val="Normal"/>
    <w:uiPriority w:val="34"/>
    <w:qFormat/>
    <w:rsid w:val="004E2308"/>
    <w:pPr>
      <w:ind w:left="720"/>
      <w:contextualSpacing/>
    </w:pPr>
  </w:style>
  <w:style w:type="paragraph" w:customStyle="1" w:styleId="ParaHeading">
    <w:name w:val="ParaHeading"/>
    <w:basedOn w:val="Normal"/>
    <w:next w:val="Normal"/>
    <w:rsid w:val="004E2308"/>
    <w:pPr>
      <w:keepNext/>
      <w:spacing w:before="240" w:after="240"/>
    </w:pPr>
  </w:style>
  <w:style w:type="paragraph" w:customStyle="1" w:styleId="ParaLevel1">
    <w:name w:val="ParaLevel1"/>
    <w:basedOn w:val="Normal"/>
    <w:rsid w:val="004E2308"/>
    <w:pPr>
      <w:numPr>
        <w:numId w:val="2"/>
      </w:numPr>
      <w:suppressAutoHyphens/>
      <w:spacing w:before="240" w:after="240"/>
      <w:jc w:val="both"/>
      <w:outlineLvl w:val="0"/>
    </w:pPr>
  </w:style>
  <w:style w:type="paragraph" w:customStyle="1" w:styleId="ParaLevel2">
    <w:name w:val="ParaLevel2"/>
    <w:basedOn w:val="Normal"/>
    <w:rsid w:val="004E2308"/>
    <w:pPr>
      <w:numPr>
        <w:ilvl w:val="1"/>
        <w:numId w:val="2"/>
      </w:numPr>
      <w:suppressAutoHyphens/>
      <w:spacing w:before="240" w:after="240"/>
      <w:jc w:val="both"/>
      <w:outlineLvl w:val="1"/>
    </w:pPr>
  </w:style>
  <w:style w:type="paragraph" w:customStyle="1" w:styleId="ParaLevel3">
    <w:name w:val="ParaLevel3"/>
    <w:basedOn w:val="Normal"/>
    <w:rsid w:val="004E2308"/>
    <w:pPr>
      <w:numPr>
        <w:ilvl w:val="2"/>
        <w:numId w:val="2"/>
      </w:numPr>
      <w:suppressAutoHyphens/>
      <w:spacing w:before="240" w:after="240"/>
      <w:jc w:val="both"/>
      <w:outlineLvl w:val="2"/>
    </w:pPr>
  </w:style>
  <w:style w:type="paragraph" w:customStyle="1" w:styleId="ParaLevel4">
    <w:name w:val="ParaLevel4"/>
    <w:basedOn w:val="Normal"/>
    <w:rsid w:val="004E2308"/>
    <w:pPr>
      <w:numPr>
        <w:ilvl w:val="3"/>
        <w:numId w:val="2"/>
      </w:numPr>
      <w:suppressAutoHyphens/>
      <w:spacing w:before="240" w:after="240"/>
      <w:jc w:val="both"/>
      <w:outlineLvl w:val="3"/>
    </w:pPr>
  </w:style>
  <w:style w:type="paragraph" w:customStyle="1" w:styleId="ParaLevel5">
    <w:name w:val="ParaLevel5"/>
    <w:basedOn w:val="Normal"/>
    <w:rsid w:val="004E2308"/>
    <w:pPr>
      <w:numPr>
        <w:ilvl w:val="4"/>
        <w:numId w:val="2"/>
      </w:numPr>
      <w:suppressAutoHyphens/>
      <w:spacing w:before="240" w:after="240"/>
      <w:jc w:val="both"/>
      <w:outlineLvl w:val="4"/>
    </w:pPr>
  </w:style>
  <w:style w:type="paragraph" w:customStyle="1" w:styleId="ParaLevel6">
    <w:name w:val="ParaLevel6"/>
    <w:basedOn w:val="Normal"/>
    <w:rsid w:val="004E2308"/>
    <w:pPr>
      <w:numPr>
        <w:ilvl w:val="5"/>
        <w:numId w:val="2"/>
      </w:numPr>
      <w:suppressAutoHyphens/>
      <w:spacing w:before="240" w:after="240"/>
      <w:jc w:val="both"/>
      <w:outlineLvl w:val="5"/>
    </w:pPr>
  </w:style>
  <w:style w:type="paragraph" w:customStyle="1" w:styleId="ParaLevel7">
    <w:name w:val="ParaLevel7"/>
    <w:basedOn w:val="Normal"/>
    <w:rsid w:val="004E2308"/>
    <w:pPr>
      <w:numPr>
        <w:ilvl w:val="6"/>
        <w:numId w:val="2"/>
      </w:numPr>
      <w:suppressAutoHyphens/>
      <w:spacing w:before="240" w:after="240"/>
      <w:jc w:val="both"/>
      <w:outlineLvl w:val="6"/>
    </w:pPr>
  </w:style>
  <w:style w:type="paragraph" w:customStyle="1" w:styleId="ParaLevel8">
    <w:name w:val="ParaLevel8"/>
    <w:basedOn w:val="Normal"/>
    <w:rsid w:val="004E2308"/>
    <w:pPr>
      <w:numPr>
        <w:ilvl w:val="7"/>
        <w:numId w:val="2"/>
      </w:numPr>
      <w:suppressAutoHyphens/>
      <w:spacing w:before="240" w:after="240"/>
      <w:jc w:val="both"/>
      <w:outlineLvl w:val="7"/>
    </w:pPr>
  </w:style>
  <w:style w:type="paragraph" w:customStyle="1" w:styleId="ParaLevel9">
    <w:name w:val="ParaLevel9"/>
    <w:basedOn w:val="Normal"/>
    <w:rsid w:val="004E2308"/>
    <w:pPr>
      <w:numPr>
        <w:ilvl w:val="8"/>
        <w:numId w:val="2"/>
      </w:numPr>
      <w:suppressAutoHyphens/>
      <w:spacing w:before="240" w:after="240"/>
      <w:jc w:val="both"/>
      <w:outlineLvl w:val="8"/>
    </w:pPr>
  </w:style>
  <w:style w:type="paragraph" w:customStyle="1" w:styleId="ParaNoNumber">
    <w:name w:val="ParaNoNumber"/>
    <w:basedOn w:val="Normal"/>
    <w:next w:val="ParaLevel1"/>
    <w:rsid w:val="004E2308"/>
    <w:pPr>
      <w:spacing w:before="240" w:after="240"/>
      <w:jc w:val="both"/>
    </w:pPr>
  </w:style>
  <w:style w:type="paragraph" w:styleId="Quote">
    <w:name w:val="Quote"/>
    <w:basedOn w:val="Normal"/>
    <w:next w:val="ParaLevel1"/>
    <w:link w:val="QuoteChar"/>
    <w:uiPriority w:val="29"/>
    <w:qFormat/>
    <w:rsid w:val="004E2308"/>
    <w:pPr>
      <w:spacing w:after="240"/>
      <w:ind w:left="1440" w:right="1440"/>
      <w:jc w:val="both"/>
    </w:pPr>
  </w:style>
  <w:style w:type="character" w:customStyle="1" w:styleId="QuoteChar">
    <w:name w:val="Quote Char"/>
    <w:basedOn w:val="DefaultParagraphFont"/>
    <w:link w:val="Quote"/>
    <w:uiPriority w:val="29"/>
    <w:rsid w:val="004E2308"/>
    <w:rPr>
      <w:rFonts w:ascii="Times New Roman" w:hAnsi="Times New Roman" w:cs="Times New Roman"/>
      <w:sz w:val="24"/>
      <w:szCs w:val="20"/>
      <w:lang w:eastAsia="en-GB"/>
    </w:rPr>
  </w:style>
  <w:style w:type="table" w:styleId="TableGrid">
    <w:name w:val="Table Grid"/>
    <w:basedOn w:val="TableNormal"/>
    <w:uiPriority w:val="39"/>
    <w:rsid w:val="004E2308"/>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52AC1"/>
  </w:style>
  <w:style w:type="table" w:styleId="PlainTable3">
    <w:name w:val="Plain Table 3"/>
    <w:basedOn w:val="TableNormal"/>
    <w:uiPriority w:val="43"/>
    <w:rsid w:val="00752AC1"/>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243270"/>
    <w:pPr>
      <w:widowControl w:val="0"/>
      <w:autoSpaceDE w:val="0"/>
      <w:autoSpaceDN w:val="0"/>
    </w:pPr>
    <w:rPr>
      <w:rFonts w:ascii="Calibri" w:eastAsia="Calibri" w:hAnsi="Calibri" w:cs="Calibri"/>
      <w:spacing w:val="0"/>
      <w:sz w:val="22"/>
      <w:szCs w:val="22"/>
      <w:lang w:eastAsia="en-GB" w:bidi="en-GB"/>
    </w:rPr>
  </w:style>
  <w:style w:type="character" w:customStyle="1" w:styleId="BodyTextChar">
    <w:name w:val="Body Text Char"/>
    <w:basedOn w:val="DefaultParagraphFont"/>
    <w:link w:val="BodyText"/>
    <w:uiPriority w:val="1"/>
    <w:rsid w:val="00243270"/>
    <w:rPr>
      <w:rFonts w:ascii="Calibri" w:eastAsia="Calibri" w:hAnsi="Calibri" w:cs="Calibri"/>
      <w:sz w:val="22"/>
      <w:szCs w:val="22"/>
      <w:lang w:eastAsia="en-GB" w:bidi="en-GB"/>
    </w:rPr>
  </w:style>
  <w:style w:type="character" w:styleId="UnresolvedMention">
    <w:name w:val="Unresolved Mention"/>
    <w:basedOn w:val="DefaultParagraphFont"/>
    <w:uiPriority w:val="99"/>
    <w:semiHidden/>
    <w:unhideWhenUsed/>
    <w:rsid w:val="00EB63F6"/>
    <w:rPr>
      <w:color w:val="605E5C"/>
      <w:shd w:val="clear" w:color="auto" w:fill="E1DFDD"/>
    </w:rPr>
  </w:style>
  <w:style w:type="paragraph" w:customStyle="1" w:styleId="Default">
    <w:name w:val="Default"/>
    <w:rsid w:val="00A74460"/>
    <w:pPr>
      <w:autoSpaceDE w:val="0"/>
      <w:autoSpaceDN w:val="0"/>
      <w:adjustRightInd w:val="0"/>
    </w:pPr>
    <w:rPr>
      <w:rFonts w:ascii="Arial" w:hAnsi="Arial" w:cs="Arial"/>
      <w:color w:val="000000"/>
      <w:sz w:val="24"/>
      <w:szCs w:val="24"/>
    </w:rPr>
  </w:style>
  <w:style w:type="character" w:customStyle="1" w:styleId="markedcontent">
    <w:name w:val="markedcontent"/>
    <w:basedOn w:val="DefaultParagraphFont"/>
    <w:rsid w:val="005E5F4B"/>
  </w:style>
  <w:style w:type="character" w:styleId="CommentReference">
    <w:name w:val="annotation reference"/>
    <w:basedOn w:val="DefaultParagraphFont"/>
    <w:uiPriority w:val="99"/>
    <w:semiHidden/>
    <w:unhideWhenUsed/>
    <w:rsid w:val="006032C3"/>
    <w:rPr>
      <w:sz w:val="16"/>
      <w:szCs w:val="16"/>
    </w:rPr>
  </w:style>
  <w:style w:type="paragraph" w:styleId="CommentText">
    <w:name w:val="annotation text"/>
    <w:basedOn w:val="Normal"/>
    <w:link w:val="CommentTextChar"/>
    <w:uiPriority w:val="99"/>
    <w:semiHidden/>
    <w:unhideWhenUsed/>
    <w:rsid w:val="006032C3"/>
    <w:rPr>
      <w:sz w:val="20"/>
    </w:rPr>
  </w:style>
  <w:style w:type="character" w:customStyle="1" w:styleId="CommentTextChar">
    <w:name w:val="Comment Text Char"/>
    <w:basedOn w:val="DefaultParagraphFont"/>
    <w:link w:val="CommentText"/>
    <w:uiPriority w:val="99"/>
    <w:semiHidden/>
    <w:rsid w:val="006032C3"/>
    <w:rPr>
      <w:spacing w:val="-3"/>
    </w:rPr>
  </w:style>
  <w:style w:type="paragraph" w:styleId="CommentSubject">
    <w:name w:val="annotation subject"/>
    <w:basedOn w:val="CommentText"/>
    <w:next w:val="CommentText"/>
    <w:link w:val="CommentSubjectChar"/>
    <w:uiPriority w:val="99"/>
    <w:semiHidden/>
    <w:unhideWhenUsed/>
    <w:rsid w:val="006032C3"/>
    <w:rPr>
      <w:b/>
      <w:bCs/>
    </w:rPr>
  </w:style>
  <w:style w:type="character" w:customStyle="1" w:styleId="CommentSubjectChar">
    <w:name w:val="Comment Subject Char"/>
    <w:basedOn w:val="CommentTextChar"/>
    <w:link w:val="CommentSubject"/>
    <w:uiPriority w:val="99"/>
    <w:semiHidden/>
    <w:rsid w:val="006032C3"/>
    <w:rPr>
      <w:b/>
      <w:bCs/>
      <w:spacing w:val="-3"/>
    </w:rPr>
  </w:style>
  <w:style w:type="paragraph" w:styleId="NormalWeb">
    <w:name w:val="Normal (Web)"/>
    <w:basedOn w:val="Normal"/>
    <w:uiPriority w:val="99"/>
    <w:semiHidden/>
    <w:unhideWhenUsed/>
    <w:rsid w:val="003A58AB"/>
    <w:pPr>
      <w:spacing w:before="100" w:beforeAutospacing="1" w:after="100" w:afterAutospacing="1"/>
    </w:pPr>
    <w:rPr>
      <w:spacing w:val="0"/>
      <w:szCs w:val="24"/>
      <w:lang w:eastAsia="en-GB"/>
    </w:rPr>
  </w:style>
  <w:style w:type="table" w:customStyle="1" w:styleId="TableGrid1">
    <w:name w:val="Table Grid1"/>
    <w:basedOn w:val="TableNormal"/>
    <w:next w:val="TableGrid"/>
    <w:uiPriority w:val="39"/>
    <w:rsid w:val="00A80FE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1DF"/>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3881">
      <w:bodyDiv w:val="1"/>
      <w:marLeft w:val="0"/>
      <w:marRight w:val="0"/>
      <w:marTop w:val="0"/>
      <w:marBottom w:val="0"/>
      <w:divBdr>
        <w:top w:val="none" w:sz="0" w:space="0" w:color="auto"/>
        <w:left w:val="none" w:sz="0" w:space="0" w:color="auto"/>
        <w:bottom w:val="none" w:sz="0" w:space="0" w:color="auto"/>
        <w:right w:val="none" w:sz="0" w:space="0" w:color="auto"/>
      </w:divBdr>
      <w:divsChild>
        <w:div w:id="1481730075">
          <w:marLeft w:val="0"/>
          <w:marRight w:val="0"/>
          <w:marTop w:val="0"/>
          <w:marBottom w:val="0"/>
          <w:divBdr>
            <w:top w:val="none" w:sz="0" w:space="0" w:color="auto"/>
            <w:left w:val="none" w:sz="0" w:space="0" w:color="auto"/>
            <w:bottom w:val="none" w:sz="0" w:space="0" w:color="auto"/>
            <w:right w:val="none" w:sz="0" w:space="0" w:color="auto"/>
          </w:divBdr>
          <w:divsChild>
            <w:div w:id="94788677">
              <w:marLeft w:val="0"/>
              <w:marRight w:val="0"/>
              <w:marTop w:val="0"/>
              <w:marBottom w:val="0"/>
              <w:divBdr>
                <w:top w:val="none" w:sz="0" w:space="0" w:color="auto"/>
                <w:left w:val="none" w:sz="0" w:space="0" w:color="auto"/>
                <w:bottom w:val="none" w:sz="0" w:space="0" w:color="auto"/>
                <w:right w:val="none" w:sz="0" w:space="0" w:color="auto"/>
              </w:divBdr>
            </w:div>
            <w:div w:id="861090803">
              <w:marLeft w:val="0"/>
              <w:marRight w:val="0"/>
              <w:marTop w:val="0"/>
              <w:marBottom w:val="0"/>
              <w:divBdr>
                <w:top w:val="none" w:sz="0" w:space="0" w:color="auto"/>
                <w:left w:val="none" w:sz="0" w:space="0" w:color="auto"/>
                <w:bottom w:val="none" w:sz="0" w:space="0" w:color="auto"/>
                <w:right w:val="none" w:sz="0" w:space="0" w:color="auto"/>
              </w:divBdr>
            </w:div>
          </w:divsChild>
        </w:div>
        <w:div w:id="1228950992">
          <w:marLeft w:val="0"/>
          <w:marRight w:val="0"/>
          <w:marTop w:val="0"/>
          <w:marBottom w:val="0"/>
          <w:divBdr>
            <w:top w:val="none" w:sz="0" w:space="0" w:color="auto"/>
            <w:left w:val="none" w:sz="0" w:space="0" w:color="auto"/>
            <w:bottom w:val="none" w:sz="0" w:space="0" w:color="auto"/>
            <w:right w:val="none" w:sz="0" w:space="0" w:color="auto"/>
          </w:divBdr>
        </w:div>
      </w:divsChild>
    </w:div>
    <w:div w:id="327750891">
      <w:bodyDiv w:val="1"/>
      <w:marLeft w:val="0"/>
      <w:marRight w:val="0"/>
      <w:marTop w:val="0"/>
      <w:marBottom w:val="0"/>
      <w:divBdr>
        <w:top w:val="none" w:sz="0" w:space="0" w:color="auto"/>
        <w:left w:val="none" w:sz="0" w:space="0" w:color="auto"/>
        <w:bottom w:val="none" w:sz="0" w:space="0" w:color="auto"/>
        <w:right w:val="none" w:sz="0" w:space="0" w:color="auto"/>
      </w:divBdr>
    </w:div>
    <w:div w:id="435685238">
      <w:bodyDiv w:val="1"/>
      <w:marLeft w:val="0"/>
      <w:marRight w:val="0"/>
      <w:marTop w:val="0"/>
      <w:marBottom w:val="0"/>
      <w:divBdr>
        <w:top w:val="none" w:sz="0" w:space="0" w:color="auto"/>
        <w:left w:val="none" w:sz="0" w:space="0" w:color="auto"/>
        <w:bottom w:val="none" w:sz="0" w:space="0" w:color="auto"/>
        <w:right w:val="none" w:sz="0" w:space="0" w:color="auto"/>
      </w:divBdr>
    </w:div>
    <w:div w:id="437336577">
      <w:bodyDiv w:val="1"/>
      <w:marLeft w:val="0"/>
      <w:marRight w:val="0"/>
      <w:marTop w:val="0"/>
      <w:marBottom w:val="0"/>
      <w:divBdr>
        <w:top w:val="none" w:sz="0" w:space="0" w:color="auto"/>
        <w:left w:val="none" w:sz="0" w:space="0" w:color="auto"/>
        <w:bottom w:val="none" w:sz="0" w:space="0" w:color="auto"/>
        <w:right w:val="none" w:sz="0" w:space="0" w:color="auto"/>
      </w:divBdr>
    </w:div>
    <w:div w:id="500317141">
      <w:bodyDiv w:val="1"/>
      <w:marLeft w:val="0"/>
      <w:marRight w:val="0"/>
      <w:marTop w:val="0"/>
      <w:marBottom w:val="0"/>
      <w:divBdr>
        <w:top w:val="none" w:sz="0" w:space="0" w:color="auto"/>
        <w:left w:val="none" w:sz="0" w:space="0" w:color="auto"/>
        <w:bottom w:val="none" w:sz="0" w:space="0" w:color="auto"/>
        <w:right w:val="none" w:sz="0" w:space="0" w:color="auto"/>
      </w:divBdr>
    </w:div>
    <w:div w:id="564417108">
      <w:bodyDiv w:val="1"/>
      <w:marLeft w:val="0"/>
      <w:marRight w:val="0"/>
      <w:marTop w:val="0"/>
      <w:marBottom w:val="0"/>
      <w:divBdr>
        <w:top w:val="none" w:sz="0" w:space="0" w:color="auto"/>
        <w:left w:val="none" w:sz="0" w:space="0" w:color="auto"/>
        <w:bottom w:val="none" w:sz="0" w:space="0" w:color="auto"/>
        <w:right w:val="none" w:sz="0" w:space="0" w:color="auto"/>
      </w:divBdr>
    </w:div>
    <w:div w:id="651183096">
      <w:bodyDiv w:val="1"/>
      <w:marLeft w:val="0"/>
      <w:marRight w:val="0"/>
      <w:marTop w:val="0"/>
      <w:marBottom w:val="0"/>
      <w:divBdr>
        <w:top w:val="none" w:sz="0" w:space="0" w:color="auto"/>
        <w:left w:val="none" w:sz="0" w:space="0" w:color="auto"/>
        <w:bottom w:val="none" w:sz="0" w:space="0" w:color="auto"/>
        <w:right w:val="none" w:sz="0" w:space="0" w:color="auto"/>
      </w:divBdr>
    </w:div>
    <w:div w:id="923030354">
      <w:bodyDiv w:val="1"/>
      <w:marLeft w:val="0"/>
      <w:marRight w:val="0"/>
      <w:marTop w:val="0"/>
      <w:marBottom w:val="0"/>
      <w:divBdr>
        <w:top w:val="none" w:sz="0" w:space="0" w:color="auto"/>
        <w:left w:val="none" w:sz="0" w:space="0" w:color="auto"/>
        <w:bottom w:val="none" w:sz="0" w:space="0" w:color="auto"/>
        <w:right w:val="none" w:sz="0" w:space="0" w:color="auto"/>
      </w:divBdr>
    </w:div>
    <w:div w:id="931738338">
      <w:bodyDiv w:val="1"/>
      <w:marLeft w:val="0"/>
      <w:marRight w:val="0"/>
      <w:marTop w:val="0"/>
      <w:marBottom w:val="0"/>
      <w:divBdr>
        <w:top w:val="none" w:sz="0" w:space="0" w:color="auto"/>
        <w:left w:val="none" w:sz="0" w:space="0" w:color="auto"/>
        <w:bottom w:val="none" w:sz="0" w:space="0" w:color="auto"/>
        <w:right w:val="none" w:sz="0" w:space="0" w:color="auto"/>
      </w:divBdr>
    </w:div>
    <w:div w:id="995567894">
      <w:bodyDiv w:val="1"/>
      <w:marLeft w:val="0"/>
      <w:marRight w:val="0"/>
      <w:marTop w:val="0"/>
      <w:marBottom w:val="0"/>
      <w:divBdr>
        <w:top w:val="none" w:sz="0" w:space="0" w:color="auto"/>
        <w:left w:val="none" w:sz="0" w:space="0" w:color="auto"/>
        <w:bottom w:val="none" w:sz="0" w:space="0" w:color="auto"/>
        <w:right w:val="none" w:sz="0" w:space="0" w:color="auto"/>
      </w:divBdr>
      <w:divsChild>
        <w:div w:id="622886371">
          <w:marLeft w:val="0"/>
          <w:marRight w:val="0"/>
          <w:marTop w:val="0"/>
          <w:marBottom w:val="0"/>
          <w:divBdr>
            <w:top w:val="none" w:sz="0" w:space="0" w:color="auto"/>
            <w:left w:val="none" w:sz="0" w:space="0" w:color="auto"/>
            <w:bottom w:val="none" w:sz="0" w:space="0" w:color="auto"/>
            <w:right w:val="none" w:sz="0" w:space="0" w:color="auto"/>
          </w:divBdr>
        </w:div>
        <w:div w:id="753012398">
          <w:marLeft w:val="0"/>
          <w:marRight w:val="0"/>
          <w:marTop w:val="0"/>
          <w:marBottom w:val="0"/>
          <w:divBdr>
            <w:top w:val="none" w:sz="0" w:space="0" w:color="auto"/>
            <w:left w:val="none" w:sz="0" w:space="0" w:color="auto"/>
            <w:bottom w:val="none" w:sz="0" w:space="0" w:color="auto"/>
            <w:right w:val="none" w:sz="0" w:space="0" w:color="auto"/>
          </w:divBdr>
        </w:div>
        <w:div w:id="1111901497">
          <w:marLeft w:val="0"/>
          <w:marRight w:val="0"/>
          <w:marTop w:val="0"/>
          <w:marBottom w:val="0"/>
          <w:divBdr>
            <w:top w:val="none" w:sz="0" w:space="0" w:color="auto"/>
            <w:left w:val="none" w:sz="0" w:space="0" w:color="auto"/>
            <w:bottom w:val="none" w:sz="0" w:space="0" w:color="auto"/>
            <w:right w:val="none" w:sz="0" w:space="0" w:color="auto"/>
          </w:divBdr>
        </w:div>
        <w:div w:id="1231767885">
          <w:marLeft w:val="0"/>
          <w:marRight w:val="0"/>
          <w:marTop w:val="0"/>
          <w:marBottom w:val="0"/>
          <w:divBdr>
            <w:top w:val="none" w:sz="0" w:space="0" w:color="auto"/>
            <w:left w:val="none" w:sz="0" w:space="0" w:color="auto"/>
            <w:bottom w:val="none" w:sz="0" w:space="0" w:color="auto"/>
            <w:right w:val="none" w:sz="0" w:space="0" w:color="auto"/>
          </w:divBdr>
        </w:div>
      </w:divsChild>
    </w:div>
    <w:div w:id="1032806064">
      <w:bodyDiv w:val="1"/>
      <w:marLeft w:val="0"/>
      <w:marRight w:val="0"/>
      <w:marTop w:val="0"/>
      <w:marBottom w:val="0"/>
      <w:divBdr>
        <w:top w:val="none" w:sz="0" w:space="0" w:color="auto"/>
        <w:left w:val="none" w:sz="0" w:space="0" w:color="auto"/>
        <w:bottom w:val="none" w:sz="0" w:space="0" w:color="auto"/>
        <w:right w:val="none" w:sz="0" w:space="0" w:color="auto"/>
      </w:divBdr>
    </w:div>
    <w:div w:id="1151823949">
      <w:bodyDiv w:val="1"/>
      <w:marLeft w:val="0"/>
      <w:marRight w:val="0"/>
      <w:marTop w:val="0"/>
      <w:marBottom w:val="0"/>
      <w:divBdr>
        <w:top w:val="none" w:sz="0" w:space="0" w:color="auto"/>
        <w:left w:val="none" w:sz="0" w:space="0" w:color="auto"/>
        <w:bottom w:val="none" w:sz="0" w:space="0" w:color="auto"/>
        <w:right w:val="none" w:sz="0" w:space="0" w:color="auto"/>
      </w:divBdr>
    </w:div>
    <w:div w:id="1196578409">
      <w:bodyDiv w:val="1"/>
      <w:marLeft w:val="0"/>
      <w:marRight w:val="0"/>
      <w:marTop w:val="0"/>
      <w:marBottom w:val="0"/>
      <w:divBdr>
        <w:top w:val="none" w:sz="0" w:space="0" w:color="auto"/>
        <w:left w:val="none" w:sz="0" w:space="0" w:color="auto"/>
        <w:bottom w:val="none" w:sz="0" w:space="0" w:color="auto"/>
        <w:right w:val="none" w:sz="0" w:space="0" w:color="auto"/>
      </w:divBdr>
    </w:div>
    <w:div w:id="1731224208">
      <w:bodyDiv w:val="1"/>
      <w:marLeft w:val="0"/>
      <w:marRight w:val="0"/>
      <w:marTop w:val="0"/>
      <w:marBottom w:val="0"/>
      <w:divBdr>
        <w:top w:val="none" w:sz="0" w:space="0" w:color="auto"/>
        <w:left w:val="none" w:sz="0" w:space="0" w:color="auto"/>
        <w:bottom w:val="none" w:sz="0" w:space="0" w:color="auto"/>
        <w:right w:val="none" w:sz="0" w:space="0" w:color="auto"/>
      </w:divBdr>
    </w:div>
    <w:div w:id="1983652533">
      <w:bodyDiv w:val="1"/>
      <w:marLeft w:val="0"/>
      <w:marRight w:val="0"/>
      <w:marTop w:val="0"/>
      <w:marBottom w:val="0"/>
      <w:divBdr>
        <w:top w:val="none" w:sz="0" w:space="0" w:color="auto"/>
        <w:left w:val="none" w:sz="0" w:space="0" w:color="auto"/>
        <w:bottom w:val="none" w:sz="0" w:space="0" w:color="auto"/>
        <w:right w:val="none" w:sz="0" w:space="0" w:color="auto"/>
      </w:divBdr>
    </w:div>
    <w:div w:id="2107067833">
      <w:bodyDiv w:val="1"/>
      <w:marLeft w:val="0"/>
      <w:marRight w:val="0"/>
      <w:marTop w:val="0"/>
      <w:marBottom w:val="0"/>
      <w:divBdr>
        <w:top w:val="none" w:sz="0" w:space="0" w:color="auto"/>
        <w:left w:val="none" w:sz="0" w:space="0" w:color="auto"/>
        <w:bottom w:val="none" w:sz="0" w:space="0" w:color="auto"/>
        <w:right w:val="none" w:sz="0" w:space="0" w:color="auto"/>
      </w:divBdr>
    </w:div>
    <w:div w:id="211263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A16E62EC3E174985C08F5BF54547C8" ma:contentTypeVersion="10" ma:contentTypeDescription="Create a new document." ma:contentTypeScope="" ma:versionID="bfb1897596398476de37edc9f5ad26bc">
  <xsd:schema xmlns:xsd="http://www.w3.org/2001/XMLSchema" xmlns:xs="http://www.w3.org/2001/XMLSchema" xmlns:p="http://schemas.microsoft.com/office/2006/metadata/properties" xmlns:ns3="523a227d-88f2-47d6-94c8-1b06ef3bdf44" xmlns:ns4="1681e400-f7e1-4eb6-9c95-31da52a4db1d" targetNamespace="http://schemas.microsoft.com/office/2006/metadata/properties" ma:root="true" ma:fieldsID="62a7b09a499ec1a1533800dc055cb012" ns3:_="" ns4:_="">
    <xsd:import namespace="523a227d-88f2-47d6-94c8-1b06ef3bdf44"/>
    <xsd:import namespace="1681e400-f7e1-4eb6-9c95-31da52a4db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a227d-88f2-47d6-94c8-1b06ef3bd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1e400-f7e1-4eb6-9c95-31da52a4db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D12A5-8BC3-4213-A45B-5EAEAE3F4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2257D7-0FFA-47FC-8BC6-066B5D59DE0A}">
  <ds:schemaRefs>
    <ds:schemaRef ds:uri="http://schemas.microsoft.com/sharepoint/v3/contenttype/forms"/>
  </ds:schemaRefs>
</ds:datastoreItem>
</file>

<file path=customXml/itemProps3.xml><?xml version="1.0" encoding="utf-8"?>
<ds:datastoreItem xmlns:ds="http://schemas.openxmlformats.org/officeDocument/2006/customXml" ds:itemID="{8A8AADD4-2858-4365-A78D-A2EDB852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a227d-88f2-47d6-94c8-1b06ef3bdf44"/>
    <ds:schemaRef ds:uri="1681e400-f7e1-4eb6-9c95-31da52a4d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4129D-8C6B-4EC0-BCCF-E3A9C7AA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11133</Words>
  <Characters>63459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Behrens</dc:creator>
  <cp:keywords/>
  <dc:description/>
  <cp:lastModifiedBy>Chilver, Lisa</cp:lastModifiedBy>
  <cp:revision>2</cp:revision>
  <cp:lastPrinted>2018-11-12T14:46:00Z</cp:lastPrinted>
  <dcterms:created xsi:type="dcterms:W3CDTF">2022-05-13T06:51:00Z</dcterms:created>
  <dcterms:modified xsi:type="dcterms:W3CDTF">2022-05-13T06:51:00Z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0x01010076A16E62EC3E174985C08F5BF54547C8</vt:lpwstr>
  </property>
</Properties>
</file>